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before="0"/>
      </w:pPr>
    </w:p>
    <w:p>
      <w:pPr>
        <w:spacing w:after="120" w:before="0"/>
        <w:jc w:val="center"/>
      </w:pPr>
      <w:r>
        <w:rPr>
          <w:rFonts w:ascii="Calibri" w:cs="Calibri" w:eastAsia="Calibri" w:hAnsi="Calibri"/>
          <w:b/>
          <w:bCs/>
          <w:caps/>
          <w:color w:val="2563EB"/>
          <w:spacing w:val="120"/>
          <w:sz w:val="24"/>
          <w:szCs w:val="24"/>
        </w:rPr>
        <w:t xml:space="preserve">CLINICAL COMPLIANCE WHITEPAPER</w:t>
      </w:r>
    </w:p>
    <w:p>
      <w:pPr>
        <w:spacing w:after="240" w:before="0"/>
        <w:jc w:val="center"/>
      </w:pPr>
      <w:r>
        <w:rPr>
          <w:rFonts w:ascii="Calibri" w:cs="Calibri" w:eastAsia="Calibri" w:hAnsi="Calibri"/>
          <w:b/>
          <w:bCs/>
          <w:color w:val="1A3A5C"/>
          <w:sz w:val="60"/>
          <w:szCs w:val="60"/>
        </w:rPr>
        <w:t xml:space="preserve">PrepQ.Health</w:t>
      </w:r>
    </w:p>
    <w:p>
      <w:pPr>
        <w:spacing w:after="480" w:before="0"/>
        <w:jc w:val="center"/>
      </w:pPr>
      <w:r>
        <w:rPr>
          <w:rFonts w:ascii="Calibri" w:cs="Calibri" w:eastAsia="Calibri" w:hAnsi="Calibri"/>
          <w:i/>
          <w:iCs/>
          <w:color w:val="6B7280"/>
          <w:sz w:val="30"/>
          <w:szCs w:val="30"/>
        </w:rPr>
        <w:t xml:space="preserve">Physician-Led AI for Procedural Patient Education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300"/>
              <w:left w:type="dxa" w:w="480"/>
              <w:bottom w:type="dxa" w:w="300"/>
              <w:right w:type="dxa" w:w="480"/>
            </w:tcMar>
          </w:tcPr>
          <w:p>
            <w:pPr>
              <w:spacing w:after="80" w:before="0"/>
              <w:jc w:val="center"/>
            </w:pPr>
            <w:r>
              <w:rPr>
                <w:rFonts w:ascii="Calibri" w:cs="Calibri" w:eastAsia="Calibri" w:hAnsi="Calibri"/>
                <w:b/>
                <w:bCs/>
                <w:color w:val="FFFFFF"/>
                <w:sz w:val="22"/>
                <w:szCs w:val="22"/>
              </w:rPr>
              <w:t xml:space="preserve">Prepared by the PrepQ Clinical Leadership Team</w:t>
            </w:r>
          </w:p>
          <w:p>
            <w:pPr>
              <w:spacing w:after="80" w:before="0"/>
              <w:jc w:val="center"/>
            </w:pPr>
            <w:r>
              <w:rPr>
                <w:rFonts w:ascii="Calibri" w:cs="Calibri" w:eastAsia="Calibri" w:hAnsi="Calibri"/>
                <w:color w:val="93C5FD"/>
                <w:sz w:val="20"/>
                <w:szCs w:val="20"/>
              </w:rPr>
              <w:t xml:space="preserve">Keith Schmidt, MD  |  Ryan Kuta, DO</w:t>
            </w:r>
          </w:p>
          <w:p>
            <w:pPr>
              <w:spacing w:after="0" w:before="0"/>
              <w:jc w:val="center"/>
            </w:pPr>
            <w:r>
              <w:rPr>
                <w:rFonts w:ascii="Calibri" w:cs="Calibri" w:eastAsia="Calibri" w:hAnsi="Calibri"/>
                <w:i/>
                <w:iCs/>
                <w:color w:val="93C5FD"/>
                <w:sz w:val="18"/>
                <w:szCs w:val="18"/>
              </w:rPr>
              <w:t xml:space="preserve">Version 1.0  |  June 2026  |  Confidential</w:t>
            </w:r>
          </w:p>
        </w:tc>
      </w:tr>
    </w:tbl>
    <w:p>
      <w:r>
        <w:br w:type="page"/>
      </w:r>
    </w:p>
    <w:p>
      <w:pPr>
        <w:pStyle w:val="Heading1"/>
        <w:pBdr>
          <w:bottom w:val="single" w:color="2563EB" w:sz="6" w:space="6"/>
        </w:pBdr>
        <w:spacing w:after="180" w:before="360"/>
      </w:pPr>
      <w:r>
        <w:rPr>
          <w:rFonts w:ascii="Calibri" w:cs="Calibri" w:eastAsia="Calibri" w:hAnsi="Calibri"/>
          <w:b/>
          <w:bCs/>
          <w:color w:val="1A3A5C"/>
          <w:sz w:val="32"/>
          <w:szCs w:val="32"/>
        </w:rPr>
        <w:t xml:space="preserve">Executive Summary</w:t>
      </w:r>
    </w:p>
    <w:p>
      <w:pPr>
        <w:spacing w:after="140" w:before="100"/>
      </w:pPr>
      <w:r>
        <w:rPr>
          <w:rFonts w:ascii="Calibri" w:cs="Calibri" w:eastAsia="Calibri" w:hAnsi="Calibri"/>
          <w:sz w:val="22"/>
          <w:szCs w:val="22"/>
        </w:rPr>
        <w:t xml:space="preserve">PrepQ.Health is the only AI-powered procedural patient education platform built and governed by practicing physicians. While competitors rely on software engineers to train AI models on general medical text, PrepQ delivers content that has been written, reviewed, and validated by board-certified MDs and DOs before it reaches a single patient.</w:t>
      </w:r>
    </w:p>
    <w:p>
      <w:pPr>
        <w:spacing w:after="80" w:before="0"/>
      </w:pPr>
    </w:p>
    <w:p>
      <w:pPr>
        <w:spacing w:after="140" w:before="100"/>
      </w:pPr>
      <w:r>
        <w:rPr>
          <w:rFonts w:ascii="Calibri" w:cs="Calibri" w:eastAsia="Calibri" w:hAnsi="Calibri"/>
          <w:sz w:val="22"/>
          <w:szCs w:val="22"/>
        </w:rPr>
        <w:t xml:space="preserve">This whitepaper documents PrepQ's clinical governance framework, AI safety methodology, specialty society compliance posture, and HIPAA architecture. It is designed for three audiences: compliance officers evaluating vendor risk, payers assessing clinical credibility, and healthcare system procurement teams making platform decisions.</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BEAFE" w:val="clear"/>
            <w:tcMar>
              <w:top w:type="dxa" w:w="160"/>
              <w:left w:type="dxa" w:w="240"/>
              <w:bottom w:type="dxa" w:w="160"/>
              <w:right w:type="dxa" w:w="240"/>
            </w:tcMar>
          </w:tcPr>
          <w:p>
            <w:pPr>
              <w:spacing w:after="60" w:before="0"/>
            </w:pPr>
            <w:r>
              <w:rPr>
                <w:rFonts w:ascii="Calibri" w:cs="Calibri" w:eastAsia="Calibri" w:hAnsi="Calibri"/>
                <w:b/>
                <w:bCs/>
                <w:color w:val="1A3A5C"/>
                <w:sz w:val="20"/>
                <w:szCs w:val="20"/>
              </w:rPr>
              <w:t xml:space="preserve">The Core Argument</w:t>
            </w:r>
          </w:p>
          <w:p>
            <w:pPr>
              <w:spacing w:after="0" w:before="0"/>
            </w:pPr>
            <w:r>
              <w:rPr>
                <w:rFonts w:ascii="Calibri" w:cs="Calibri" w:eastAsia="Calibri" w:hAnsi="Calibri"/>
                <w:color w:val="1F2937"/>
                <w:sz w:val="22"/>
                <w:szCs w:val="22"/>
              </w:rPr>
              <w:t xml:space="preserve">An AI tool that tells a patient how to prepare for a nerve block injection is giving medical advice. The question is not whether AI can generate that content. The question is: who is accountable when it is wrong? At PrepQ, the answer is a licensed physician.</w:t>
            </w:r>
          </w:p>
        </w:tc>
      </w:tr>
    </w:tbl>
    <w:p>
      <w:pPr>
        <w:spacing w:after="200" w:before="0"/>
      </w:pPr>
    </w:p>
    <w:p>
      <w:pPr>
        <w:pStyle w:val="Heading1"/>
        <w:pBdr>
          <w:bottom w:val="single" w:color="2563EB" w:sz="6" w:space="6"/>
        </w:pBdr>
        <w:spacing w:after="180" w:before="360"/>
      </w:pPr>
      <w:r>
        <w:rPr>
          <w:rFonts w:ascii="Calibri" w:cs="Calibri" w:eastAsia="Calibri" w:hAnsi="Calibri"/>
          <w:b/>
          <w:bCs/>
          <w:color w:val="1A3A5C"/>
          <w:sz w:val="32"/>
          <w:szCs w:val="32"/>
        </w:rPr>
        <w:t xml:space="preserve">1. The Problem with Tech-Only AI in Healthcare</w:t>
      </w:r>
    </w:p>
    <w:p>
      <w:pPr>
        <w:spacing w:after="140" w:before="100"/>
      </w:pPr>
      <w:r>
        <w:rPr>
          <w:rFonts w:ascii="Calibri" w:cs="Calibri" w:eastAsia="Calibri" w:hAnsi="Calibri"/>
          <w:sz w:val="22"/>
          <w:szCs w:val="22"/>
        </w:rPr>
        <w:t xml:space="preserve">The market for AI-assisted patient education has grown rapidly. Dozens of platforms now offer procedure prep content, prior authorization support, and clinical documentation assistance. The majority are built by technology companies staffed by engineers with no clinical background.</w:t>
      </w:r>
    </w:p>
    <w:p>
      <w:pPr>
        <w:spacing w:after="80" w:before="0"/>
      </w:pPr>
    </w:p>
    <w:p>
      <w:pPr>
        <w:spacing w:after="140" w:before="100"/>
      </w:pPr>
      <w:r>
        <w:rPr>
          <w:rFonts w:ascii="Calibri" w:cs="Calibri" w:eastAsia="Calibri" w:hAnsi="Calibri"/>
          <w:sz w:val="22"/>
          <w:szCs w:val="22"/>
        </w:rPr>
        <w:t xml:space="preserve">This creates a specific category of risk that technology companies are structurally unable to address.</w:t>
      </w:r>
    </w:p>
    <w:p>
      <w:pPr>
        <w:spacing w:after="80" w:before="0"/>
      </w:pPr>
    </w:p>
    <w:p>
      <w:pPr>
        <w:pStyle w:val="Heading2"/>
        <w:spacing w:after="120" w:before="280"/>
      </w:pPr>
      <w:r>
        <w:rPr>
          <w:rFonts w:ascii="Calibri" w:cs="Calibri" w:eastAsia="Calibri" w:hAnsi="Calibri"/>
          <w:b/>
          <w:bCs/>
          <w:color w:val="2563EB"/>
          <w:sz w:val="26"/>
          <w:szCs w:val="26"/>
        </w:rPr>
        <w:t xml:space="preserve">1.1 Algorithmic Accuracy Is Not Clinical Accuracy</w:t>
      </w:r>
    </w:p>
    <w:p>
      <w:pPr>
        <w:spacing w:after="140" w:before="100"/>
      </w:pPr>
      <w:r>
        <w:rPr>
          <w:rFonts w:ascii="Calibri" w:cs="Calibri" w:eastAsia="Calibri" w:hAnsi="Calibri"/>
          <w:sz w:val="22"/>
          <w:szCs w:val="22"/>
        </w:rPr>
        <w:t xml:space="preserve">Large language models are trained on broad datasets. They produce fluent, confident-sounding text. They also hallucinate drug interactions, misstate hold periods for anticoagulants, and confuse CPT codes with statistically similar but clinically different ones. An engineer reviewing output for coherence will not catch these errors. A physician reviewing for accuracy will.</w:t>
      </w:r>
    </w:p>
    <w:p>
      <w:pPr>
        <w:spacing w:after="80" w:before="0"/>
      </w:pPr>
    </w:p>
    <w:p>
      <w:pPr>
        <w:spacing w:after="140" w:before="100"/>
      </w:pPr>
      <w:r>
        <w:rPr>
          <w:rFonts w:ascii="Calibri" w:cs="Calibri" w:eastAsia="Calibri" w:hAnsi="Calibri"/>
          <w:sz w:val="22"/>
          <w:szCs w:val="22"/>
        </w:rPr>
        <w:t xml:space="preserve">The stakes are high. A patient told to stop their anticoagulant four days early before a spinal cord stimulator trial faces stroke risk. A patient given the wrong NPO instructions before a celiac plexus block faces aspiration risk. These are not edge cases. They are the everyday clinical decisions that procedural patient education must get right.</w:t>
      </w:r>
    </w:p>
    <w:p>
      <w:pPr>
        <w:spacing w:after="80" w:before="0"/>
      </w:pPr>
    </w:p>
    <w:p>
      <w:pPr>
        <w:pStyle w:val="Heading2"/>
        <w:spacing w:after="120" w:before="280"/>
      </w:pPr>
      <w:r>
        <w:rPr>
          <w:rFonts w:ascii="Calibri" w:cs="Calibri" w:eastAsia="Calibri" w:hAnsi="Calibri"/>
          <w:b/>
          <w:bCs/>
          <w:color w:val="2563EB"/>
          <w:sz w:val="26"/>
          <w:szCs w:val="26"/>
        </w:rPr>
        <w:t xml:space="preserve">1.2 Liability Without Accountability</w:t>
      </w:r>
    </w:p>
    <w:p>
      <w:pPr>
        <w:spacing w:after="140" w:before="100"/>
      </w:pPr>
      <w:r>
        <w:rPr>
          <w:rFonts w:ascii="Calibri" w:cs="Calibri" w:eastAsia="Calibri" w:hAnsi="Calibri"/>
          <w:sz w:val="22"/>
          <w:szCs w:val="22"/>
        </w:rPr>
        <w:t xml:space="preserve">Tech-only platforms typically operate under broad disclaimers that their content is "for informational purposes only" and does not constitute medical advice. In practice, patients and providers use this content to make clinical decisions. When something goes wrong, liability flows to the practice, not the software vendor.</w:t>
      </w:r>
    </w:p>
    <w:p>
      <w:pPr>
        <w:spacing w:after="80" w:before="0"/>
      </w:pPr>
    </w:p>
    <w:p>
      <w:pPr>
        <w:spacing w:after="140" w:before="100"/>
      </w:pPr>
      <w:r>
        <w:rPr>
          <w:rFonts w:ascii="Calibri" w:cs="Calibri" w:eastAsia="Calibri" w:hAnsi="Calibri"/>
          <w:sz w:val="22"/>
          <w:szCs w:val="22"/>
        </w:rPr>
        <w:t xml:space="preserve">PrepQ is different. Licensed physicians have reviewed and are accountable for every clinical claim in the platform. This shifts the governance model from "tech company disclaimed" to "physician certified," which meaningfully changes the risk profile for partner institutions.</w:t>
      </w:r>
    </w:p>
    <w:p>
      <w:pPr>
        <w:spacing w:after="80" w:before="0"/>
      </w:pPr>
    </w:p>
    <w:p>
      <w:pPr>
        <w:pStyle w:val="Heading2"/>
        <w:spacing w:after="120" w:before="280"/>
      </w:pPr>
      <w:r>
        <w:rPr>
          <w:rFonts w:ascii="Calibri" w:cs="Calibri" w:eastAsia="Calibri" w:hAnsi="Calibri"/>
          <w:b/>
          <w:bCs/>
          <w:color w:val="2563EB"/>
          <w:sz w:val="26"/>
          <w:szCs w:val="26"/>
        </w:rPr>
        <w:t xml:space="preserve">1.3 Regulatory Risk Is Accelerating</w:t>
      </w:r>
    </w:p>
    <w:p>
      <w:pPr>
        <w:spacing w:after="140" w:before="100"/>
      </w:pPr>
      <w:r>
        <w:rPr>
          <w:rFonts w:ascii="Calibri" w:cs="Calibri" w:eastAsia="Calibri" w:hAnsi="Calibri"/>
          <w:sz w:val="22"/>
          <w:szCs w:val="22"/>
        </w:rPr>
        <w:t xml:space="preserve">The FDA, CMS, and state medical boards are all actively developing frameworks for AI in clinical settings. The direction of travel is clear: AI tools that provide clinical guidance will face increasing requirements for physician oversight, documented review processes, and audit trails. PrepQ is already operating at the standard regulators are moving toward. Most tech-only competitors are not.</w:t>
      </w:r>
    </w:p>
    <w:p>
      <w:pPr>
        <w:spacing w:after="200" w:before="0"/>
      </w:pPr>
    </w:p>
    <w:p>
      <w:r>
        <w:br w:type="page"/>
      </w:r>
    </w:p>
    <w:p>
      <w:pPr>
        <w:pStyle w:val="Heading1"/>
        <w:pBdr>
          <w:bottom w:val="single" w:color="2563EB" w:sz="6" w:space="6"/>
        </w:pBdr>
        <w:spacing w:after="180" w:before="360"/>
      </w:pPr>
      <w:r>
        <w:rPr>
          <w:rFonts w:ascii="Calibri" w:cs="Calibri" w:eastAsia="Calibri" w:hAnsi="Calibri"/>
          <w:b/>
          <w:bCs/>
          <w:color w:val="1A3A5C"/>
          <w:sz w:val="32"/>
          <w:szCs w:val="32"/>
        </w:rPr>
        <w:t xml:space="preserve">2. PrepQ's Clinical Governance Framework</w:t>
      </w:r>
    </w:p>
    <w:p>
      <w:pPr>
        <w:spacing w:after="140" w:before="100"/>
      </w:pPr>
      <w:r>
        <w:rPr>
          <w:rFonts w:ascii="Calibri" w:cs="Calibri" w:eastAsia="Calibri" w:hAnsi="Calibri"/>
          <w:sz w:val="22"/>
          <w:szCs w:val="22"/>
        </w:rPr>
        <w:t xml:space="preserve">PrepQ operates under a formal three-physician governance structure. All three founders are clinically active. Their oversight is not advisory. It is operational.</w:t>
      </w:r>
    </w:p>
    <w:p>
      <w:pPr>
        <w:spacing w:after="80" w:before="0"/>
      </w:pPr>
    </w:p>
    <w:p>
      <w:pPr>
        <w:pStyle w:val="Heading2"/>
        <w:spacing w:after="120" w:before="280"/>
      </w:pPr>
      <w:r>
        <w:rPr>
          <w:rFonts w:ascii="Calibri" w:cs="Calibri" w:eastAsia="Calibri" w:hAnsi="Calibri"/>
          <w:b/>
          <w:bCs/>
          <w:color w:val="2563EB"/>
          <w:sz w:val="26"/>
          <w:szCs w:val="26"/>
        </w:rPr>
        <w:t xml:space="preserve">2.1 Clinical Leadership</w:t>
      </w:r>
    </w:p>
    <w:p>
      <w:pPr>
        <w:pStyle w:val="Heading3"/>
        <w:spacing w:after="80" w:before="200"/>
      </w:pPr>
      <w:r>
        <w:rPr>
          <w:rFonts w:ascii="Calibri" w:cs="Calibri" w:eastAsia="Calibri" w:hAnsi="Calibri"/>
          <w:b/>
          <w:bCs/>
          <w:color w:val="1F2937"/>
          <w:sz w:val="24"/>
          <w:szCs w:val="24"/>
        </w:rPr>
        <w:t xml:space="preserve">Keith Schmidt, MD (Co-Founder and CEO)</w:t>
      </w:r>
    </w:p>
    <w:p>
      <w:pPr>
        <w:spacing w:after="140" w:before="100"/>
      </w:pPr>
      <w:r>
        <w:rPr>
          <w:rFonts w:ascii="Calibri" w:cs="Calibri" w:eastAsia="Calibri" w:hAnsi="Calibri"/>
          <w:sz w:val="22"/>
          <w:szCs w:val="22"/>
        </w:rPr>
        <w:t xml:space="preserve">Dr. Schmidt is a practicing physician specializing in longevity and interventional medicine. He designed PrepQ's clinical architecture, including the 17-object data structure that governs each procedure module, the ASRA-aligned anticoagulation risk stratification system, and the content review process that all new procedures must pass before publication.</w:t>
      </w:r>
    </w:p>
    <w:p>
      <w:pPr>
        <w:spacing w:after="80" w:before="0"/>
      </w:pPr>
    </w:p>
    <w:p>
      <w:pPr>
        <w:pStyle w:val="Heading3"/>
        <w:spacing w:after="80" w:before="200"/>
      </w:pPr>
      <w:r>
        <w:rPr>
          <w:rFonts w:ascii="Calibri" w:cs="Calibri" w:eastAsia="Calibri" w:hAnsi="Calibri"/>
          <w:b/>
          <w:bCs/>
          <w:color w:val="1F2937"/>
          <w:sz w:val="24"/>
          <w:szCs w:val="24"/>
        </w:rPr>
        <w:t xml:space="preserve">Ryan Kuta, DO (Co-Founder and Chief Medical Officer)</w:t>
      </w:r>
    </w:p>
    <w:p>
      <w:pPr>
        <w:spacing w:after="140" w:before="100"/>
      </w:pPr>
      <w:r>
        <w:rPr>
          <w:rFonts w:ascii="Calibri" w:cs="Calibri" w:eastAsia="Calibri" w:hAnsi="Calibri"/>
          <w:sz w:val="22"/>
          <w:szCs w:val="22"/>
        </w:rPr>
        <w:t xml:space="preserve">Dr. Kuta is a board-certified physician who oversees clinical content accuracy across all specialties on the platform. His review responsibilities include anticoagulation hold and restart protocols, procedure-specific safety frameworks, and the accuracy of ICD-10 and CPT coding guidance embedded in each module.</w:t>
      </w:r>
    </w:p>
    <w:p>
      <w:pPr>
        <w:spacing w:after="80" w:before="0"/>
      </w:pPr>
    </w:p>
    <w:p>
      <w:pPr>
        <w:pStyle w:val="Heading2"/>
        <w:spacing w:after="120" w:before="280"/>
      </w:pPr>
      <w:r>
        <w:rPr>
          <w:rFonts w:ascii="Calibri" w:cs="Calibri" w:eastAsia="Calibri" w:hAnsi="Calibri"/>
          <w:b/>
          <w:bCs/>
          <w:color w:val="2563EB"/>
          <w:sz w:val="26"/>
          <w:szCs w:val="26"/>
        </w:rPr>
        <w:t xml:space="preserve">2.2 Content Review Process</w:t>
      </w:r>
    </w:p>
    <w:p>
      <w:pPr>
        <w:spacing w:after="140" w:before="100"/>
      </w:pPr>
      <w:r>
        <w:rPr>
          <w:rFonts w:ascii="Calibri" w:cs="Calibri" w:eastAsia="Calibri" w:hAnsi="Calibri"/>
          <w:sz w:val="22"/>
          <w:szCs w:val="22"/>
        </w:rPr>
        <w:t xml:space="preserve">Every procedure module on PrepQ goes through a structured review process before publication. The process is sequential: content is drafted against specialty society guidelines, reviewed for clinical accuracy by a physician with relevant training, reviewed for coding accuracy against current CMS and payer guidelines, and then approved for publication with the reviewing physician on record.</w:t>
      </w:r>
    </w:p>
    <w:p>
      <w:pPr>
        <w:spacing w:after="80" w:before="0"/>
      </w:pPr>
    </w:p>
    <w:p>
      <w:pPr>
        <w:spacing w:after="140" w:before="100"/>
      </w:pPr>
      <w:r>
        <w:rPr>
          <w:rFonts w:ascii="Calibri" w:cs="Calibri" w:eastAsia="Calibri" w:hAnsi="Calibri"/>
          <w:sz w:val="22"/>
          <w:szCs w:val="22"/>
        </w:rPr>
        <w:t xml:space="preserve">Substantive updates to clinical guidelines trigger a re-review of affected modules. PrepQ does not wait for a model retraining cycle to incorporate new guidance. When ASRA updates its anticoagulation guidelines or CMS changes a coverage policy, the relevant modules are flagged and updated within the review cycle.</w:t>
      </w:r>
    </w:p>
    <w:p>
      <w:pPr>
        <w:spacing w:after="80" w:before="0"/>
      </w:pPr>
    </w:p>
    <w:p>
      <w:pPr>
        <w:pStyle w:val="Heading2"/>
        <w:spacing w:after="120" w:before="280"/>
      </w:pPr>
      <w:r>
        <w:rPr>
          <w:rFonts w:ascii="Calibri" w:cs="Calibri" w:eastAsia="Calibri" w:hAnsi="Calibri"/>
          <w:b/>
          <w:bCs/>
          <w:color w:val="2563EB"/>
          <w:sz w:val="26"/>
          <w:szCs w:val="26"/>
        </w:rPr>
        <w:t xml:space="preserve">2.3 Scope of Current Coverage</w:t>
      </w:r>
    </w:p>
    <w:p>
      <w:pPr>
        <w:spacing w:after="140" w:before="100"/>
      </w:pPr>
      <w:r>
        <w:rPr>
          <w:rFonts w:ascii="Calibri" w:cs="Calibri" w:eastAsia="Calibri" w:hAnsi="Calibri"/>
          <w:sz w:val="22"/>
          <w:szCs w:val="22"/>
        </w:rPr>
        <w:t xml:space="preserve">As of version 1.0, PrepQ covers 85 procedures across 22 specialty categories, including:</w:t>
      </w:r>
    </w:p>
    <w:p>
      <w:pPr>
        <w:spacing w:after="80" w:before="0"/>
      </w:pPr>
    </w:p>
    <w:p>
      <w:pPr>
        <w:pStyle w:val="ListParagraph"/>
        <w:numPr>
          <w:ilvl w:val="0"/>
          <w:numId w:val="2"/>
        </w:numPr>
        <w:spacing w:after="60" w:before="60"/>
        <w:ind w:left="360" w:hanging="240"/>
      </w:pPr>
      <w:r>
        <w:rPr>
          <w:rFonts w:ascii="Calibri" w:cs="Calibri" w:eastAsia="Calibri" w:hAnsi="Calibri"/>
          <w:sz w:val="22"/>
          <w:szCs w:val="22"/>
        </w:rPr>
        <w:t xml:space="preserve">Pain management (spinal injections, nerve blocks, neuromodulation, sympathetic blocks)</w:t>
      </w:r>
    </w:p>
    <w:p>
      <w:pPr>
        <w:pStyle w:val="ListParagraph"/>
        <w:numPr>
          <w:ilvl w:val="0"/>
          <w:numId w:val="2"/>
        </w:numPr>
        <w:spacing w:after="60" w:before="60"/>
        <w:ind w:left="360" w:hanging="240"/>
      </w:pPr>
      <w:r>
        <w:rPr>
          <w:rFonts w:ascii="Calibri" w:cs="Calibri" w:eastAsia="Calibri" w:hAnsi="Calibri"/>
          <w:sz w:val="22"/>
          <w:szCs w:val="22"/>
        </w:rPr>
        <w:t xml:space="preserve">Orthopedic procedures (joint injections, aspiration, fluoroscopic guidance)</w:t>
      </w:r>
    </w:p>
    <w:p>
      <w:pPr>
        <w:pStyle w:val="ListParagraph"/>
        <w:numPr>
          <w:ilvl w:val="0"/>
          <w:numId w:val="2"/>
        </w:numPr>
        <w:spacing w:after="60" w:before="60"/>
        <w:ind w:left="360" w:hanging="240"/>
      </w:pPr>
      <w:r>
        <w:rPr>
          <w:rFonts w:ascii="Calibri" w:cs="Calibri" w:eastAsia="Calibri" w:hAnsi="Calibri"/>
          <w:sz w:val="22"/>
          <w:szCs w:val="22"/>
        </w:rPr>
        <w:t xml:space="preserve">Urology procedures (cystoscopy, urodynamics, prostate procedures)</w:t>
      </w:r>
    </w:p>
    <w:p>
      <w:pPr>
        <w:pStyle w:val="ListParagraph"/>
        <w:numPr>
          <w:ilvl w:val="0"/>
          <w:numId w:val="2"/>
        </w:numPr>
        <w:spacing w:after="60" w:before="60"/>
        <w:ind w:left="360" w:hanging="240"/>
      </w:pPr>
      <w:r>
        <w:rPr>
          <w:rFonts w:ascii="Calibri" w:cs="Calibri" w:eastAsia="Calibri" w:hAnsi="Calibri"/>
          <w:sz w:val="22"/>
          <w:szCs w:val="22"/>
        </w:rPr>
        <w:t xml:space="preserve">Headache and neurology procedures (Botox PREEMPT, SPG block, trigger point)</w:t>
      </w:r>
    </w:p>
    <w:p>
      <w:pPr>
        <w:pStyle w:val="ListParagraph"/>
        <w:numPr>
          <w:ilvl w:val="0"/>
          <w:numId w:val="2"/>
        </w:numPr>
        <w:spacing w:after="60" w:before="60"/>
        <w:ind w:left="360" w:hanging="240"/>
      </w:pPr>
      <w:r>
        <w:rPr>
          <w:rFonts w:ascii="Calibri" w:cs="Calibri" w:eastAsia="Calibri" w:hAnsi="Calibri"/>
          <w:sz w:val="22"/>
          <w:szCs w:val="22"/>
        </w:rPr>
        <w:t xml:space="preserve">Regional anesthesia (peripheral nerve blocks, thoracic paravertebral, pudendal)</w:t>
      </w:r>
    </w:p>
    <w:p>
      <w:pPr>
        <w:pStyle w:val="ListParagraph"/>
        <w:numPr>
          <w:ilvl w:val="0"/>
          <w:numId w:val="2"/>
        </w:numPr>
        <w:spacing w:after="60" w:before="60"/>
        <w:ind w:left="360" w:hanging="240"/>
      </w:pPr>
      <w:r>
        <w:rPr>
          <w:rFonts w:ascii="Calibri" w:cs="Calibri" w:eastAsia="Calibri" w:hAnsi="Calibri"/>
          <w:sz w:val="22"/>
          <w:szCs w:val="22"/>
        </w:rPr>
        <w:t xml:space="preserve">Peripheral nerve stimulation (18 nerve-specific targets across upper and lower extremity)</w:t>
      </w:r>
    </w:p>
    <w:p>
      <w:pPr>
        <w:spacing w:after="80" w:before="0"/>
      </w:pPr>
    </w:p>
    <w:p>
      <w:pPr>
        <w:spacing w:after="140" w:before="100"/>
      </w:pPr>
      <w:r>
        <w:rPr>
          <w:rFonts w:ascii="Calibri" w:cs="Calibri" w:eastAsia="Calibri" w:hAnsi="Calibri"/>
          <w:sz w:val="22"/>
          <w:szCs w:val="22"/>
        </w:rPr>
        <w:t xml:space="preserve">Each procedure module includes 14 clinical tabs: Checklist, Anticoagulation, CPT Coding, Denial Management, ICD-10, Patient Education, Exercises, Imaging, Preference Card, Prior Authorization Letter, Research and Evidence, Sample Clinic Note, Sample Procedure Note, and Post-Procedure Instructions.</w:t>
      </w:r>
    </w:p>
    <w:p>
      <w:pPr>
        <w:spacing w:after="200" w:before="0"/>
      </w:pPr>
    </w:p>
    <w:p>
      <w:r>
        <w:br w:type="page"/>
      </w:r>
    </w:p>
    <w:p>
      <w:pPr>
        <w:pStyle w:val="Heading1"/>
        <w:pBdr>
          <w:bottom w:val="single" w:color="2563EB" w:sz="6" w:space="6"/>
        </w:pBdr>
        <w:spacing w:after="180" w:before="360"/>
      </w:pPr>
      <w:r>
        <w:rPr>
          <w:rFonts w:ascii="Calibri" w:cs="Calibri" w:eastAsia="Calibri" w:hAnsi="Calibri"/>
          <w:b/>
          <w:bCs/>
          <w:color w:val="1A3A5C"/>
          <w:sz w:val="32"/>
          <w:szCs w:val="32"/>
        </w:rPr>
        <w:t xml:space="preserve">3. AI Safety Methodology</w:t>
      </w:r>
    </w:p>
    <w:p>
      <w:pPr>
        <w:spacing w:after="140" w:before="100"/>
      </w:pPr>
      <w:r>
        <w:rPr>
          <w:rFonts w:ascii="Calibri" w:cs="Calibri" w:eastAsia="Calibri" w:hAnsi="Calibri"/>
          <w:sz w:val="22"/>
          <w:szCs w:val="22"/>
        </w:rPr>
        <w:t xml:space="preserve">PrepQ uses AI as a drafting and synthesis tool. All AI-generated content is treated as a first draft, not a final output. A physician reviews and approves every clinical claim before it is published.</w:t>
      </w:r>
    </w:p>
    <w:p>
      <w:pPr>
        <w:spacing w:after="80" w:before="0"/>
      </w:pPr>
    </w:p>
    <w:p>
      <w:pPr>
        <w:pStyle w:val="Heading2"/>
        <w:spacing w:after="120" w:before="280"/>
      </w:pPr>
      <w:r>
        <w:rPr>
          <w:rFonts w:ascii="Calibri" w:cs="Calibri" w:eastAsia="Calibri" w:hAnsi="Calibri"/>
          <w:b/>
          <w:bCs/>
          <w:color w:val="2563EB"/>
          <w:sz w:val="26"/>
          <w:szCs w:val="26"/>
        </w:rPr>
        <w:t xml:space="preserve">3.1 The Human-in-the-Loop Architecture</w:t>
      </w:r>
    </w:p>
    <w:p>
      <w:pPr>
        <w:spacing w:after="140" w:before="100"/>
      </w:pPr>
      <w:r>
        <w:rPr>
          <w:rFonts w:ascii="Calibri" w:cs="Calibri" w:eastAsia="Calibri" w:hAnsi="Calibri"/>
          <w:sz w:val="22"/>
          <w:szCs w:val="22"/>
        </w:rPr>
        <w:t xml:space="preserve">PrepQ's model is distinct from platforms that deploy AI outputs directly to end users. The pipeline has three stages.</w:t>
      </w:r>
    </w:p>
    <w:p>
      <w:pPr>
        <w:spacing w:after="80" w:before="0"/>
      </w:pPr>
    </w:p>
    <w:p>
      <w:pPr>
        <w:spacing w:after="140" w:before="100"/>
      </w:pPr>
      <w:r>
        <w:rPr>
          <w:rFonts w:ascii="Calibri" w:cs="Calibri" w:eastAsia="Calibri" w:hAnsi="Calibri"/>
          <w:sz w:val="22"/>
          <w:szCs w:val="22"/>
        </w:rPr>
        <w:t xml:space="preserve">First, AI models assist in drafting procedure content, synthesizing guideline documents, and structuring clinical data into PrepQ's 17-object module format. Second, a board-certified physician reviews the draft against primary source guidelines, including ASRA, CMS coverage determinations, specialty society position statements, and peer-reviewed literature. Third, the reviewed and approved content is published with the reviewing physician's credentials on record.</w:t>
      </w:r>
    </w:p>
    <w:p>
      <w:pPr>
        <w:spacing w:after="80" w:before="0"/>
      </w:pPr>
    </w:p>
    <w:p>
      <w:pPr>
        <w:spacing w:after="140" w:before="100"/>
      </w:pPr>
      <w:r>
        <w:rPr>
          <w:rFonts w:ascii="Calibri" w:cs="Calibri" w:eastAsia="Calibri" w:hAnsi="Calibri"/>
          <w:sz w:val="22"/>
          <w:szCs w:val="22"/>
        </w:rPr>
        <w:t xml:space="preserve">End users see physician-certified content, not raw AI output.</w:t>
      </w:r>
    </w:p>
    <w:p>
      <w:pPr>
        <w:spacing w:after="80" w:before="0"/>
      </w:pPr>
    </w:p>
    <w:p>
      <w:pPr>
        <w:pStyle w:val="Heading2"/>
        <w:spacing w:after="120" w:before="280"/>
      </w:pPr>
      <w:r>
        <w:rPr>
          <w:rFonts w:ascii="Calibri" w:cs="Calibri" w:eastAsia="Calibri" w:hAnsi="Calibri"/>
          <w:b/>
          <w:bCs/>
          <w:color w:val="2563EB"/>
          <w:sz w:val="26"/>
          <w:szCs w:val="26"/>
        </w:rPr>
        <w:t xml:space="preserve">3.2 Anticoagulation Safety</w:t>
      </w:r>
    </w:p>
    <w:p>
      <w:pPr>
        <w:spacing w:after="140" w:before="100"/>
      </w:pPr>
      <w:r>
        <w:rPr>
          <w:rFonts w:ascii="Calibri" w:cs="Calibri" w:eastAsia="Calibri" w:hAnsi="Calibri"/>
          <w:sz w:val="22"/>
          <w:szCs w:val="22"/>
        </w:rPr>
        <w:t xml:space="preserve">Anticoagulation management represents the highest-risk clinical decision embedded in procedural patient education. PrepQ's anticoagulation framework is built directly on ASRA Pain Medicine guidelines and stratifies every covered procedure into one of three risk tiers.</w:t>
      </w:r>
    </w:p>
    <w:p>
      <w:pPr>
        <w:spacing w:after="80" w:before="0"/>
      </w:pPr>
    </w:p>
    <w:p>
      <w:pPr>
        <w:pStyle w:val="ListParagraph"/>
        <w:numPr>
          <w:ilvl w:val="0"/>
          <w:numId w:val="2"/>
        </w:numPr>
        <w:spacing w:after="60" w:before="60"/>
        <w:ind w:left="360" w:hanging="240"/>
      </w:pPr>
      <w:r>
        <w:rPr>
          <w:rFonts w:ascii="Calibri" w:cs="Calibri" w:eastAsia="Calibri" w:hAnsi="Calibri"/>
          <w:sz w:val="22"/>
          <w:szCs w:val="22"/>
        </w:rPr>
        <w:t xml:space="preserve">High risk: Procedures near the neuraxis or in poorly compressible spaces, including epidural steroid injections, intrathecal pump access, spinal cord stimulator implantation, and adhesiolysis.</w:t>
      </w:r>
    </w:p>
    <w:p>
      <w:pPr>
        <w:pStyle w:val="ListParagraph"/>
        <w:numPr>
          <w:ilvl w:val="0"/>
          <w:numId w:val="2"/>
        </w:numPr>
        <w:spacing w:after="60" w:before="60"/>
        <w:ind w:left="360" w:hanging="240"/>
      </w:pPr>
      <w:r>
        <w:rPr>
          <w:rFonts w:ascii="Calibri" w:cs="Calibri" w:eastAsia="Calibri" w:hAnsi="Calibri"/>
          <w:sz w:val="22"/>
          <w:szCs w:val="22"/>
        </w:rPr>
        <w:t xml:space="preserve">Intermediate risk: Procedures with moderate bleeding consequence, including medial branch blocks, radiofrequency ablation, sacroiliac joint procedures, stellate ganglion block, vertebroplasty, discography, and thoracic paravertebral block.</w:t>
      </w:r>
    </w:p>
    <w:p>
      <w:pPr>
        <w:pStyle w:val="ListParagraph"/>
        <w:numPr>
          <w:ilvl w:val="0"/>
          <w:numId w:val="2"/>
        </w:numPr>
        <w:spacing w:after="60" w:before="60"/>
        <w:ind w:left="360" w:hanging="240"/>
      </w:pPr>
      <w:r>
        <w:rPr>
          <w:rFonts w:ascii="Calibri" w:cs="Calibri" w:eastAsia="Calibri" w:hAnsi="Calibri"/>
          <w:sz w:val="22"/>
          <w:szCs w:val="22"/>
        </w:rPr>
        <w:t xml:space="preserve">Low risk: Procedures with manageable bleeding consequence, including joint injections, trigger point injections, peripheral nerve blocks, and all 18 nerve-specific peripheral nerve stimulation targets.</w:t>
      </w:r>
    </w:p>
    <w:p>
      <w:pPr>
        <w:spacing w:after="80" w:before="0"/>
      </w:pPr>
    </w:p>
    <w:p>
      <w:pPr>
        <w:spacing w:after="140" w:before="100"/>
      </w:pPr>
      <w:r>
        <w:rPr>
          <w:rFonts w:ascii="Calibri" w:cs="Calibri" w:eastAsia="Calibri" w:hAnsi="Calibri"/>
          <w:sz w:val="22"/>
          <w:szCs w:val="22"/>
        </w:rPr>
        <w:t xml:space="preserve">Each tier generates specific hold and restart recommendations for the anticoagulants and antiplatelets most commonly encountered in practice. These recommendations are reviewed by physician leadership each time ASRA publishes updated guidance.</w:t>
      </w:r>
    </w:p>
    <w:p>
      <w:pPr>
        <w:spacing w:after="80" w:before="0"/>
      </w:pPr>
    </w:p>
    <w:p>
      <w:pPr>
        <w:pStyle w:val="Heading2"/>
        <w:spacing w:after="120" w:before="280"/>
      </w:pPr>
      <w:r>
        <w:rPr>
          <w:rFonts w:ascii="Calibri" w:cs="Calibri" w:eastAsia="Calibri" w:hAnsi="Calibri"/>
          <w:b/>
          <w:bCs/>
          <w:color w:val="2563EB"/>
          <w:sz w:val="26"/>
          <w:szCs w:val="26"/>
        </w:rPr>
        <w:t xml:space="preserve">3.3 Coding Accuracy</w:t>
      </w:r>
    </w:p>
    <w:p>
      <w:pPr>
        <w:spacing w:after="140" w:before="100"/>
      </w:pPr>
      <w:r>
        <w:rPr>
          <w:rFonts w:ascii="Calibri" w:cs="Calibri" w:eastAsia="Calibri" w:hAnsi="Calibri"/>
          <w:sz w:val="22"/>
          <w:szCs w:val="22"/>
        </w:rPr>
        <w:t xml:space="preserve">CPT coding errors in procedural documentation create denial risk and, in cases of pattern upcoding, fraud exposure. PrepQ embeds CPT guidance that has been reviewed by physician coders familiar with the specific billing context of each procedure. For procedures with bundling rules (such as ultrasound guidance), PrepQ flags the correct bundling approach rather than defaulting to separate billing that payers will deny.</w:t>
      </w:r>
    </w:p>
    <w:p>
      <w:pPr>
        <w:spacing w:after="200" w:before="0"/>
      </w:pPr>
    </w:p>
    <w:p>
      <w:r>
        <w:br w:type="page"/>
      </w:r>
    </w:p>
    <w:p>
      <w:pPr>
        <w:pStyle w:val="Heading1"/>
        <w:pBdr>
          <w:bottom w:val="single" w:color="2563EB" w:sz="6" w:space="6"/>
        </w:pBdr>
        <w:spacing w:after="180" w:before="360"/>
      </w:pPr>
      <w:r>
        <w:rPr>
          <w:rFonts w:ascii="Calibri" w:cs="Calibri" w:eastAsia="Calibri" w:hAnsi="Calibri"/>
          <w:b/>
          <w:bCs/>
          <w:color w:val="1A3A5C"/>
          <w:sz w:val="32"/>
          <w:szCs w:val="32"/>
        </w:rPr>
        <w:t xml:space="preserve">4. HIPAA Architecture and PHI Handling</w:t>
      </w:r>
    </w:p>
    <w:p>
      <w:pPr>
        <w:pStyle w:val="Heading2"/>
        <w:spacing w:after="120" w:before="280"/>
      </w:pPr>
      <w:r>
        <w:rPr>
          <w:rFonts w:ascii="Calibri" w:cs="Calibri" w:eastAsia="Calibri" w:hAnsi="Calibri"/>
          <w:b/>
          <w:bCs/>
          <w:color w:val="2563EB"/>
          <w:sz w:val="26"/>
          <w:szCs w:val="26"/>
        </w:rPr>
        <w:t xml:space="preserve">4.1 PHI-Free by Design</w:t>
      </w:r>
    </w:p>
    <w:p>
      <w:pPr>
        <w:spacing w:after="140" w:before="100"/>
      </w:pPr>
      <w:r>
        <w:rPr>
          <w:rFonts w:ascii="Calibri" w:cs="Calibri" w:eastAsia="Calibri" w:hAnsi="Calibri"/>
          <w:sz w:val="22"/>
          <w:szCs w:val="22"/>
        </w:rPr>
        <w:t xml:space="preserve">PrepQ's architecture eliminates the most common HIPAA risk in AI-assisted clinical tools: the inadvertent transmission of protected health information to third-party AI providers.</w:t>
      </w:r>
    </w:p>
    <w:p>
      <w:pPr>
        <w:spacing w:after="80" w:before="0"/>
      </w:pPr>
    </w:p>
    <w:p>
      <w:pPr>
        <w:spacing w:after="140" w:before="100"/>
      </w:pPr>
      <w:r>
        <w:rPr>
          <w:rFonts w:ascii="Calibri" w:cs="Calibri" w:eastAsia="Calibri" w:hAnsi="Calibri"/>
          <w:sz w:val="22"/>
          <w:szCs w:val="22"/>
        </w:rPr>
        <w:t xml:space="preserve">The platform does not require providers or patients to enter PHI to access procedure education content. Procedure modules are accessed by procedure type, not by patient identity. No names, dates of birth, medical record numbers, or diagnosis codes tied to individual patients are required to use the platform's core functionality.</w:t>
      </w:r>
    </w:p>
    <w:p>
      <w:pPr>
        <w:spacing w:after="80" w:before="0"/>
      </w:pPr>
    </w:p>
    <w:p>
      <w:pPr>
        <w:pStyle w:val="Heading2"/>
        <w:spacing w:after="120" w:before="280"/>
      </w:pPr>
      <w:r>
        <w:rPr>
          <w:rFonts w:ascii="Calibri" w:cs="Calibri" w:eastAsia="Calibri" w:hAnsi="Calibri"/>
          <w:b/>
          <w:bCs/>
          <w:color w:val="2563EB"/>
          <w:sz w:val="26"/>
          <w:szCs w:val="26"/>
        </w:rPr>
        <w:t xml:space="preserve">4.2 Security Architecture</w:t>
      </w:r>
    </w:p>
    <w:p>
      <w:pPr>
        <w:spacing w:after="140" w:before="100"/>
      </w:pPr>
      <w:r>
        <w:rPr>
          <w:rFonts w:ascii="Calibri" w:cs="Calibri" w:eastAsia="Calibri" w:hAnsi="Calibri"/>
          <w:sz w:val="22"/>
          <w:szCs w:val="22"/>
        </w:rPr>
        <w:t xml:space="preserve">PrepQ is deployed on Vercel's edge infrastructure with the following security posture:</w:t>
      </w:r>
    </w:p>
    <w:p>
      <w:pPr>
        <w:spacing w:after="80" w:before="0"/>
      </w:pPr>
    </w:p>
    <w:p>
      <w:pPr>
        <w:pStyle w:val="ListParagraph"/>
        <w:numPr>
          <w:ilvl w:val="0"/>
          <w:numId w:val="2"/>
        </w:numPr>
        <w:spacing w:after="60" w:before="60"/>
        <w:ind w:left="360" w:hanging="240"/>
      </w:pPr>
      <w:r>
        <w:rPr>
          <w:rFonts w:ascii="Calibri" w:cs="Calibri" w:eastAsia="Calibri" w:hAnsi="Calibri"/>
          <w:sz w:val="22"/>
          <w:szCs w:val="22"/>
        </w:rPr>
        <w:t xml:space="preserve">HTTPS enforced across all endpoints with HSTS preload submitted</w:t>
      </w:r>
    </w:p>
    <w:p>
      <w:pPr>
        <w:pStyle w:val="ListParagraph"/>
        <w:numPr>
          <w:ilvl w:val="0"/>
          <w:numId w:val="2"/>
        </w:numPr>
        <w:spacing w:after="60" w:before="60"/>
        <w:ind w:left="360" w:hanging="240"/>
      </w:pPr>
      <w:r>
        <w:rPr>
          <w:rFonts w:ascii="Calibri" w:cs="Calibri" w:eastAsia="Calibri" w:hAnsi="Calibri"/>
          <w:sz w:val="22"/>
          <w:szCs w:val="22"/>
        </w:rPr>
        <w:t xml:space="preserve">Subresource integrity (SRI) verification on all third-party CDN scripts</w:t>
      </w:r>
    </w:p>
    <w:p>
      <w:pPr>
        <w:pStyle w:val="ListParagraph"/>
        <w:numPr>
          <w:ilvl w:val="0"/>
          <w:numId w:val="2"/>
        </w:numPr>
        <w:spacing w:after="60" w:before="60"/>
        <w:ind w:left="360" w:hanging="240"/>
      </w:pPr>
      <w:r>
        <w:rPr>
          <w:rFonts w:ascii="Calibri" w:cs="Calibri" w:eastAsia="Calibri" w:hAnsi="Calibri"/>
          <w:sz w:val="22"/>
          <w:szCs w:val="22"/>
        </w:rPr>
        <w:t xml:space="preserve">Eight active security headers, including Content-Security-Policy and X-Frame-Options</w:t>
      </w:r>
    </w:p>
    <w:p>
      <w:pPr>
        <w:pStyle w:val="ListParagraph"/>
        <w:numPr>
          <w:ilvl w:val="0"/>
          <w:numId w:val="2"/>
        </w:numPr>
        <w:spacing w:after="60" w:before="60"/>
        <w:ind w:left="360" w:hanging="240"/>
      </w:pPr>
      <w:r>
        <w:rPr>
          <w:rFonts w:ascii="Calibri" w:cs="Calibri" w:eastAsia="Calibri" w:hAnsi="Calibri"/>
          <w:sz w:val="22"/>
          <w:szCs w:val="22"/>
        </w:rPr>
        <w:t xml:space="preserve">No PHI inputs in the clinical content layer of the application</w:t>
      </w:r>
    </w:p>
    <w:p>
      <w:pPr>
        <w:pStyle w:val="ListParagraph"/>
        <w:numPr>
          <w:ilvl w:val="0"/>
          <w:numId w:val="2"/>
        </w:numPr>
        <w:spacing w:after="60" w:before="60"/>
        <w:ind w:left="360" w:hanging="240"/>
      </w:pPr>
      <w:r>
        <w:rPr>
          <w:rFonts w:ascii="Calibri" w:cs="Calibri" w:eastAsia="Calibri" w:hAnsi="Calibri"/>
          <w:sz w:val="22"/>
          <w:szCs w:val="22"/>
        </w:rPr>
        <w:t xml:space="preserve">Email capture handled through HIPAA-aware pipeline (Loops and Supabase)</w:t>
      </w:r>
    </w:p>
    <w:p>
      <w:pPr>
        <w:spacing w:after="80" w:before="0"/>
      </w:pPr>
    </w:p>
    <w:p>
      <w:pPr>
        <w:spacing w:after="140" w:before="100"/>
      </w:pPr>
      <w:r>
        <w:rPr>
          <w:rFonts w:ascii="Calibri" w:cs="Calibri" w:eastAsia="Calibri" w:hAnsi="Calibri"/>
          <w:sz w:val="22"/>
          <w:szCs w:val="22"/>
        </w:rPr>
        <w:t xml:space="preserve">A formal security audit was conducted in April 2026, producing a 27-finding remediation report. All critical and high findings were resolved within the same session.</w:t>
      </w:r>
    </w:p>
    <w:p>
      <w:pPr>
        <w:spacing w:after="200" w:before="0"/>
      </w:pPr>
    </w:p>
    <w:p>
      <w:r>
        <w:br w:type="page"/>
      </w:r>
    </w:p>
    <w:p>
      <w:pPr>
        <w:pStyle w:val="Heading1"/>
        <w:pBdr>
          <w:bottom w:val="single" w:color="2563EB" w:sz="6" w:space="6"/>
        </w:pBdr>
        <w:spacing w:after="180" w:before="360"/>
      </w:pPr>
      <w:r>
        <w:rPr>
          <w:rFonts w:ascii="Calibri" w:cs="Calibri" w:eastAsia="Calibri" w:hAnsi="Calibri"/>
          <w:b/>
          <w:bCs/>
          <w:color w:val="1A3A5C"/>
          <w:sz w:val="32"/>
          <w:szCs w:val="32"/>
        </w:rPr>
        <w:t xml:space="preserve">5. Specialty Society Compliance</w:t>
      </w:r>
    </w:p>
    <w:p>
      <w:pPr>
        <w:pStyle w:val="Heading2"/>
        <w:spacing w:after="120" w:before="280"/>
      </w:pPr>
      <w:r>
        <w:rPr>
          <w:rFonts w:ascii="Calibri" w:cs="Calibri" w:eastAsia="Calibri" w:hAnsi="Calibri"/>
          <w:b/>
          <w:bCs/>
          <w:color w:val="2563EB"/>
          <w:sz w:val="26"/>
          <w:szCs w:val="26"/>
        </w:rPr>
        <w:t xml:space="preserve">5.1 ASRA Pain Medicine</w:t>
      </w:r>
    </w:p>
    <w:p>
      <w:pPr>
        <w:spacing w:after="140" w:before="100"/>
      </w:pPr>
      <w:r>
        <w:rPr>
          <w:rFonts w:ascii="Calibri" w:cs="Calibri" w:eastAsia="Calibri" w:hAnsi="Calibri"/>
          <w:sz w:val="22"/>
          <w:szCs w:val="22"/>
        </w:rPr>
        <w:t xml:space="preserve">PrepQ's anticoagulation framework is the most direct expression of specialty society compliance on the platform. ASRA Pain Medicine's practice advisory on interventional pain procedures is the authoritative source for hold and restart recommendations. PrepQ's risk stratification model maps every covered procedure to ASRA's classification system and generates recommendations consistent with the most recent published guidance.</w:t>
      </w:r>
    </w:p>
    <w:p>
      <w:pPr>
        <w:spacing w:after="80" w:before="0"/>
      </w:pPr>
    </w:p>
    <w:p>
      <w:pPr>
        <w:pStyle w:val="Heading2"/>
        <w:spacing w:after="120" w:before="280"/>
      </w:pPr>
      <w:r>
        <w:rPr>
          <w:rFonts w:ascii="Calibri" w:cs="Calibri" w:eastAsia="Calibri" w:hAnsi="Calibri"/>
          <w:b/>
          <w:bCs/>
          <w:color w:val="2563EB"/>
          <w:sz w:val="26"/>
          <w:szCs w:val="26"/>
        </w:rPr>
        <w:t xml:space="preserve">5.2 CMS Coverage Determination Alignment</w:t>
      </w:r>
    </w:p>
    <w:p>
      <w:pPr>
        <w:spacing w:after="140" w:before="100"/>
      </w:pPr>
      <w:r>
        <w:rPr>
          <w:rFonts w:ascii="Calibri" w:cs="Calibri" w:eastAsia="Calibri" w:hAnsi="Calibri"/>
          <w:sz w:val="22"/>
          <w:szCs w:val="22"/>
        </w:rPr>
        <w:t xml:space="preserve">Prior authorization requirements and medical necessity documentation are among the most operationally burdensome aspects of interventional practice. PrepQ's prior authorization letter templates and ICD-10 guidance are written against CMS Local Coverage Determinations and major commercial payer policies. They are reviewed by physicians who understand the specific language payers require to approve coverage.</w:t>
      </w:r>
    </w:p>
    <w:p>
      <w:pPr>
        <w:spacing w:after="80" w:before="0"/>
      </w:pPr>
    </w:p>
    <w:p>
      <w:pPr>
        <w:pStyle w:val="Heading2"/>
        <w:spacing w:after="120" w:before="280"/>
      </w:pPr>
      <w:r>
        <w:rPr>
          <w:rFonts w:ascii="Calibri" w:cs="Calibri" w:eastAsia="Calibri" w:hAnsi="Calibri"/>
          <w:b/>
          <w:bCs/>
          <w:color w:val="2563EB"/>
          <w:sz w:val="26"/>
          <w:szCs w:val="26"/>
        </w:rPr>
        <w:t xml:space="preserve">5.3 CME Accreditation</w:t>
      </w:r>
    </w:p>
    <w:p>
      <w:pPr>
        <w:spacing w:after="140" w:before="100"/>
      </w:pPr>
      <w:r>
        <w:rPr>
          <w:rFonts w:ascii="Calibri" w:cs="Calibri" w:eastAsia="Calibri" w:hAnsi="Calibri"/>
          <w:sz w:val="22"/>
          <w:szCs w:val="22"/>
        </w:rPr>
        <w:t xml:space="preserve">PrepQ is developing a CME accreditation pathway aligned with ACCME standards. Each PrepQ CME module is structured to the AMA PRA Category 1 standard: learning objectives, content matched to objectives, a post-test with validated questions, and credit reporting infrastructure.</w:t>
      </w:r>
    </w:p>
    <w:p>
      <w:pPr>
        <w:spacing w:after="80" w:before="0"/>
      </w:pPr>
    </w:p>
    <w:p>
      <w:pPr>
        <w:spacing w:after="140" w:before="100"/>
      </w:pPr>
      <w:r>
        <w:rPr>
          <w:rFonts w:ascii="Calibri" w:cs="Calibri" w:eastAsia="Calibri" w:hAnsi="Calibri"/>
          <w:sz w:val="22"/>
          <w:szCs w:val="22"/>
        </w:rPr>
        <w:t xml:space="preserve">Partner societies identified for joint providership include the American Society of Regional Anesthesia and Pain Medicine, the American Academy of Pain Medicine, the American Society of Interventional Pain Physicians, the American Society for Pain and Neuroscience, the North American Neuromodulation Society, and the International Pain and Spine Intervention Society.</w:t>
      </w:r>
    </w:p>
    <w:p>
      <w:pPr>
        <w:spacing w:after="200" w:before="0"/>
      </w:pPr>
    </w:p>
    <w:p>
      <w:r>
        <w:br w:type="page"/>
      </w:r>
    </w:p>
    <w:p>
      <w:pPr>
        <w:pStyle w:val="Heading1"/>
        <w:pBdr>
          <w:bottom w:val="single" w:color="2563EB" w:sz="6" w:space="6"/>
        </w:pBdr>
        <w:spacing w:after="180" w:before="360"/>
      </w:pPr>
      <w:r>
        <w:rPr>
          <w:rFonts w:ascii="Calibri" w:cs="Calibri" w:eastAsia="Calibri" w:hAnsi="Calibri"/>
          <w:b/>
          <w:bCs/>
          <w:color w:val="1A3A5C"/>
          <w:sz w:val="32"/>
          <w:szCs w:val="32"/>
        </w:rPr>
        <w:t xml:space="preserve">6. PrepQ vs. Tech-Only Platforms: A Comparison</w:t>
      </w:r>
    </w:p>
    <w:p>
      <w:pPr>
        <w:spacing w:after="140" w:before="100"/>
      </w:pPr>
      <w:r>
        <w:rPr>
          <w:rFonts w:ascii="Calibri" w:cs="Calibri" w:eastAsia="Calibri" w:hAnsi="Calibri"/>
          <w:sz w:val="22"/>
          <w:szCs w:val="22"/>
        </w:rPr>
        <w:t xml:space="preserve">The table below summarizes the key structural differences between PrepQ's physician-governed model and the tech-only AI tools most commonly evaluated alongside it.</w:t>
      </w:r>
    </w:p>
    <w:p>
      <w:pPr>
        <w:spacing w:after="1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rPr>
          <w:tblHeader/>
        </w:trPr>
        <w:tc>
          <w:tcPr>
            <w:tcW w:type="dxa" w:w="2880"/>
            <w:tcBorders>
              <w:top w:val="single" w:color="CCCCCC" w:sz="1"/>
              <w:left w:val="single" w:color="CCCCCC" w:sz="1"/>
              <w:bottom w:val="single" w:color="CCCCCC" w:sz="1"/>
              <w:right w:val="single" w:color="CCCCCC" w:sz="1"/>
            </w:tcBorders>
            <w:shd w:fill="1A3A5C" w:val="clear"/>
            <w:tcMar>
              <w:top w:type="dxa" w:w="100"/>
              <w:left w:type="dxa" w:w="140"/>
              <w:bottom w:type="dxa" w:w="100"/>
              <w:right w:type="dxa" w:w="140"/>
            </w:tcMar>
            <w:vAlign w:val="center"/>
          </w:tcPr>
          <w:p>
            <w:pPr>
              <w:jc w:val="center"/>
            </w:pPr>
            <w:r>
              <w:rPr>
                <w:rFonts w:ascii="Calibri" w:cs="Calibri" w:eastAsia="Calibri" w:hAnsi="Calibri"/>
                <w:b/>
                <w:bCs/>
                <w:color w:val="FFFFFF"/>
                <w:sz w:val="20"/>
                <w:szCs w:val="20"/>
              </w:rPr>
              <w:t xml:space="preserve">Capability</w:t>
            </w:r>
          </w:p>
        </w:tc>
        <w:tc>
          <w:tcPr>
            <w:tcW w:type="dxa" w:w="2880"/>
            <w:tcBorders>
              <w:top w:val="single" w:color="CCCCCC" w:sz="1"/>
              <w:left w:val="single" w:color="CCCCCC" w:sz="1"/>
              <w:bottom w:val="single" w:color="CCCCCC" w:sz="1"/>
              <w:right w:val="single" w:color="CCCCCC" w:sz="1"/>
            </w:tcBorders>
            <w:shd w:fill="2563EB" w:val="clear"/>
            <w:tcMar>
              <w:top w:type="dxa" w:w="100"/>
              <w:left w:type="dxa" w:w="140"/>
              <w:bottom w:type="dxa" w:w="100"/>
              <w:right w:type="dxa" w:w="140"/>
            </w:tcMar>
            <w:vAlign w:val="center"/>
          </w:tcPr>
          <w:p>
            <w:pPr>
              <w:jc w:val="center"/>
            </w:pPr>
            <w:r>
              <w:rPr>
                <w:rFonts w:ascii="Calibri" w:cs="Calibri" w:eastAsia="Calibri" w:hAnsi="Calibri"/>
                <w:b/>
                <w:bCs/>
                <w:color w:val="FFFFFF"/>
                <w:sz w:val="20"/>
                <w:szCs w:val="20"/>
              </w:rPr>
              <w:t xml:space="preserve">PrepQ.Health</w:t>
            </w:r>
          </w:p>
        </w:tc>
        <w:tc>
          <w:tcPr>
            <w:tcW w:type="dxa" w:w="2880"/>
            <w:tcBorders>
              <w:top w:val="single" w:color="CCCCCC" w:sz="1"/>
              <w:left w:val="single" w:color="CCCCCC" w:sz="1"/>
              <w:bottom w:val="single" w:color="CCCCCC" w:sz="1"/>
              <w:right w:val="single" w:color="CCCCCC" w:sz="1"/>
            </w:tcBorders>
            <w:shd w:fill="555555" w:val="clear"/>
            <w:tcMar>
              <w:top w:type="dxa" w:w="100"/>
              <w:left w:type="dxa" w:w="140"/>
              <w:bottom w:type="dxa" w:w="100"/>
              <w:right w:type="dxa" w:w="140"/>
            </w:tcMar>
            <w:vAlign w:val="center"/>
          </w:tcPr>
          <w:p>
            <w:pPr>
              <w:jc w:val="center"/>
            </w:pPr>
            <w:r>
              <w:rPr>
                <w:rFonts w:ascii="Calibri" w:cs="Calibri" w:eastAsia="Calibri" w:hAnsi="Calibri"/>
                <w:b/>
                <w:bCs/>
                <w:color w:val="FFFFFF"/>
                <w:sz w:val="20"/>
                <w:szCs w:val="20"/>
              </w:rPr>
              <w:t xml:space="preserve">Tech-Only AI Tools</w:t>
            </w:r>
          </w:p>
        </w:tc>
      </w:tr>
      <w:tr>
        <w:tc>
          <w:tcPr>
            <w:tcW w:type="dxa" w:w="360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left"/>
            </w:pPr>
            <w:r>
              <w:rPr>
                <w:rFonts w:ascii="Calibri" w:cs="Calibri" w:eastAsia="Calibri" w:hAnsi="Calibri"/>
                <w:b w:val="false"/>
                <w:bCs w:val="false"/>
                <w:color w:val="1F2937"/>
                <w:sz w:val="20"/>
                <w:szCs w:val="20"/>
              </w:rPr>
              <w:t xml:space="preserve">Clinical content authors</w:t>
            </w:r>
          </w:p>
        </w:tc>
        <w:tc>
          <w:tcPr>
            <w:tcW w:type="dxa" w:w="2880"/>
            <w:tcBorders>
              <w:top w:val="single" w:color="CCCCCC" w:sz="1"/>
              <w:left w:val="single" w:color="CCCCCC" w:sz="1"/>
              <w:bottom w:val="single" w:color="CCCCCC" w:sz="1"/>
              <w:right w:val="single" w:color="CCCCCC" w:sz="1"/>
            </w:tcBorders>
            <w:shd w:fill="EFF6FF" w:val="clear"/>
            <w:tcMar>
              <w:top w:type="dxa" w:w="80"/>
              <w:left w:type="dxa" w:w="140"/>
              <w:bottom w:type="dxa" w:w="80"/>
              <w:right w:type="dxa" w:w="140"/>
            </w:tcMar>
            <w:vAlign w:val="center"/>
          </w:tcPr>
          <w:p>
            <w:pPr>
              <w:jc w:val="center"/>
            </w:pPr>
            <w:r>
              <w:rPr>
                <w:rFonts w:ascii="Calibri" w:cs="Calibri" w:eastAsia="Calibri" w:hAnsi="Calibri"/>
                <w:b/>
                <w:bCs/>
                <w:color w:val="2563EB"/>
                <w:sz w:val="20"/>
                <w:szCs w:val="20"/>
              </w:rPr>
              <w:t xml:space="preserve">Board-certified MD/DO physicians</w:t>
            </w:r>
          </w:p>
        </w:tc>
        <w:tc>
          <w:tcPr>
            <w:tcW w:type="dxa" w:w="288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center"/>
            </w:pPr>
            <w:r>
              <w:rPr>
                <w:rFonts w:ascii="Calibri" w:cs="Calibri" w:eastAsia="Calibri" w:hAnsi="Calibri"/>
                <w:b w:val="false"/>
                <w:bCs w:val="false"/>
                <w:color w:val="6B7280"/>
                <w:sz w:val="20"/>
                <w:szCs w:val="20"/>
              </w:rPr>
              <w:t xml:space="preserve">Software engineers</w:t>
            </w:r>
          </w:p>
        </w:tc>
      </w:tr>
      <w:tr>
        <w:tc>
          <w:tcPr>
            <w:tcW w:type="dxa" w:w="360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left"/>
            </w:pPr>
            <w:r>
              <w:rPr>
                <w:rFonts w:ascii="Calibri" w:cs="Calibri" w:eastAsia="Calibri" w:hAnsi="Calibri"/>
                <w:b w:val="false"/>
                <w:bCs w:val="false"/>
                <w:color w:val="1F2937"/>
                <w:sz w:val="20"/>
                <w:szCs w:val="20"/>
              </w:rPr>
              <w:t xml:space="preserve">Active physician oversight</w:t>
            </w:r>
          </w:p>
        </w:tc>
        <w:tc>
          <w:tcPr>
            <w:tcW w:type="dxa" w:w="2880"/>
            <w:tcBorders>
              <w:top w:val="single" w:color="CCCCCC" w:sz="1"/>
              <w:left w:val="single" w:color="CCCCCC" w:sz="1"/>
              <w:bottom w:val="single" w:color="CCCCCC" w:sz="1"/>
              <w:right w:val="single" w:color="CCCCCC" w:sz="1"/>
            </w:tcBorders>
            <w:shd w:fill="EFF6FF" w:val="clear"/>
            <w:tcMar>
              <w:top w:type="dxa" w:w="80"/>
              <w:left w:type="dxa" w:w="140"/>
              <w:bottom w:type="dxa" w:w="80"/>
              <w:right w:type="dxa" w:w="140"/>
            </w:tcMar>
            <w:vAlign w:val="center"/>
          </w:tcPr>
          <w:p>
            <w:pPr>
              <w:jc w:val="center"/>
            </w:pPr>
            <w:r>
              <w:rPr>
                <w:rFonts w:ascii="Calibri" w:cs="Calibri" w:eastAsia="Calibri" w:hAnsi="Calibri"/>
                <w:b/>
                <w:bCs/>
                <w:color w:val="2563EB"/>
                <w:sz w:val="20"/>
                <w:szCs w:val="20"/>
              </w:rPr>
              <w:t xml:space="preserve">Yes, ongoing</w:t>
            </w:r>
          </w:p>
        </w:tc>
        <w:tc>
          <w:tcPr>
            <w:tcW w:type="dxa" w:w="288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center"/>
            </w:pPr>
            <w:r>
              <w:rPr>
                <w:rFonts w:ascii="Calibri" w:cs="Calibri" w:eastAsia="Calibri" w:hAnsi="Calibri"/>
                <w:b w:val="false"/>
                <w:bCs w:val="false"/>
                <w:color w:val="6B7280"/>
                <w:sz w:val="20"/>
                <w:szCs w:val="20"/>
              </w:rPr>
              <w:t xml:space="preserve">No</w:t>
            </w:r>
          </w:p>
        </w:tc>
      </w:tr>
      <w:tr>
        <w:tc>
          <w:tcPr>
            <w:tcW w:type="dxa" w:w="360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left"/>
            </w:pPr>
            <w:r>
              <w:rPr>
                <w:rFonts w:ascii="Calibri" w:cs="Calibri" w:eastAsia="Calibri" w:hAnsi="Calibri"/>
                <w:b w:val="false"/>
                <w:bCs w:val="false"/>
                <w:color w:val="1F2937"/>
                <w:sz w:val="20"/>
                <w:szCs w:val="20"/>
              </w:rPr>
              <w:t xml:space="preserve">Medical accuracy accountability</w:t>
            </w:r>
          </w:p>
        </w:tc>
        <w:tc>
          <w:tcPr>
            <w:tcW w:type="dxa" w:w="2880"/>
            <w:tcBorders>
              <w:top w:val="single" w:color="CCCCCC" w:sz="1"/>
              <w:left w:val="single" w:color="CCCCCC" w:sz="1"/>
              <w:bottom w:val="single" w:color="CCCCCC" w:sz="1"/>
              <w:right w:val="single" w:color="CCCCCC" w:sz="1"/>
            </w:tcBorders>
            <w:shd w:fill="EFF6FF" w:val="clear"/>
            <w:tcMar>
              <w:top w:type="dxa" w:w="80"/>
              <w:left w:type="dxa" w:w="140"/>
              <w:bottom w:type="dxa" w:w="80"/>
              <w:right w:type="dxa" w:w="140"/>
            </w:tcMar>
            <w:vAlign w:val="center"/>
          </w:tcPr>
          <w:p>
            <w:pPr>
              <w:jc w:val="center"/>
            </w:pPr>
            <w:r>
              <w:rPr>
                <w:rFonts w:ascii="Calibri" w:cs="Calibri" w:eastAsia="Calibri" w:hAnsi="Calibri"/>
                <w:b/>
                <w:bCs/>
                <w:color w:val="2563EB"/>
                <w:sz w:val="20"/>
                <w:szCs w:val="20"/>
              </w:rPr>
              <w:t xml:space="preserve">Licensed physicians on record</w:t>
            </w:r>
          </w:p>
        </w:tc>
        <w:tc>
          <w:tcPr>
            <w:tcW w:type="dxa" w:w="288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center"/>
            </w:pPr>
            <w:r>
              <w:rPr>
                <w:rFonts w:ascii="Calibri" w:cs="Calibri" w:eastAsia="Calibri" w:hAnsi="Calibri"/>
                <w:b w:val="false"/>
                <w:bCs w:val="false"/>
                <w:color w:val="6B7280"/>
                <w:sz w:val="20"/>
                <w:szCs w:val="20"/>
              </w:rPr>
              <w:t xml:space="preserve">No clinical signatory</w:t>
            </w:r>
          </w:p>
        </w:tc>
      </w:tr>
      <w:tr>
        <w:tc>
          <w:tcPr>
            <w:tcW w:type="dxa" w:w="360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left"/>
            </w:pPr>
            <w:r>
              <w:rPr>
                <w:rFonts w:ascii="Calibri" w:cs="Calibri" w:eastAsia="Calibri" w:hAnsi="Calibri"/>
                <w:b w:val="false"/>
                <w:bCs w:val="false"/>
                <w:color w:val="1F2937"/>
                <w:sz w:val="20"/>
                <w:szCs w:val="20"/>
              </w:rPr>
              <w:t xml:space="preserve">ASRA anticoag guidance</w:t>
            </w:r>
          </w:p>
        </w:tc>
        <w:tc>
          <w:tcPr>
            <w:tcW w:type="dxa" w:w="2880"/>
            <w:tcBorders>
              <w:top w:val="single" w:color="CCCCCC" w:sz="1"/>
              <w:left w:val="single" w:color="CCCCCC" w:sz="1"/>
              <w:bottom w:val="single" w:color="CCCCCC" w:sz="1"/>
              <w:right w:val="single" w:color="CCCCCC" w:sz="1"/>
            </w:tcBorders>
            <w:shd w:fill="EFF6FF" w:val="clear"/>
            <w:tcMar>
              <w:top w:type="dxa" w:w="80"/>
              <w:left w:type="dxa" w:w="140"/>
              <w:bottom w:type="dxa" w:w="80"/>
              <w:right w:type="dxa" w:w="140"/>
            </w:tcMar>
            <w:vAlign w:val="center"/>
          </w:tcPr>
          <w:p>
            <w:pPr>
              <w:jc w:val="center"/>
            </w:pPr>
            <w:r>
              <w:rPr>
                <w:rFonts w:ascii="Calibri" w:cs="Calibri" w:eastAsia="Calibri" w:hAnsi="Calibri"/>
                <w:b/>
                <w:bCs/>
                <w:color w:val="2563EB"/>
                <w:sz w:val="20"/>
                <w:szCs w:val="20"/>
              </w:rPr>
              <w:t xml:space="preserve">Risk-stratified, physician-reviewed</w:t>
            </w:r>
          </w:p>
        </w:tc>
        <w:tc>
          <w:tcPr>
            <w:tcW w:type="dxa" w:w="288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center"/>
            </w:pPr>
            <w:r>
              <w:rPr>
                <w:rFonts w:ascii="Calibri" w:cs="Calibri" w:eastAsia="Calibri" w:hAnsi="Calibri"/>
                <w:b w:val="false"/>
                <w:bCs w:val="false"/>
                <w:color w:val="6B7280"/>
                <w:sz w:val="20"/>
                <w:szCs w:val="20"/>
              </w:rPr>
              <w:t xml:space="preserve">Not specialty-specific</w:t>
            </w:r>
          </w:p>
        </w:tc>
      </w:tr>
      <w:tr>
        <w:tc>
          <w:tcPr>
            <w:tcW w:type="dxa" w:w="360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left"/>
            </w:pPr>
            <w:r>
              <w:rPr>
                <w:rFonts w:ascii="Calibri" w:cs="Calibri" w:eastAsia="Calibri" w:hAnsi="Calibri"/>
                <w:b w:val="false"/>
                <w:bCs w:val="false"/>
                <w:color w:val="1F2937"/>
                <w:sz w:val="20"/>
                <w:szCs w:val="20"/>
              </w:rPr>
              <w:t xml:space="preserve">CMS/payer compliance language</w:t>
            </w:r>
          </w:p>
        </w:tc>
        <w:tc>
          <w:tcPr>
            <w:tcW w:type="dxa" w:w="2880"/>
            <w:tcBorders>
              <w:top w:val="single" w:color="CCCCCC" w:sz="1"/>
              <w:left w:val="single" w:color="CCCCCC" w:sz="1"/>
              <w:bottom w:val="single" w:color="CCCCCC" w:sz="1"/>
              <w:right w:val="single" w:color="CCCCCC" w:sz="1"/>
            </w:tcBorders>
            <w:shd w:fill="EFF6FF" w:val="clear"/>
            <w:tcMar>
              <w:top w:type="dxa" w:w="80"/>
              <w:left w:type="dxa" w:w="140"/>
              <w:bottom w:type="dxa" w:w="80"/>
              <w:right w:type="dxa" w:w="140"/>
            </w:tcMar>
            <w:vAlign w:val="center"/>
          </w:tcPr>
          <w:p>
            <w:pPr>
              <w:jc w:val="center"/>
            </w:pPr>
            <w:r>
              <w:rPr>
                <w:rFonts w:ascii="Calibri" w:cs="Calibri" w:eastAsia="Calibri" w:hAnsi="Calibri"/>
                <w:b/>
                <w:bCs/>
                <w:color w:val="2563EB"/>
                <w:sz w:val="20"/>
                <w:szCs w:val="20"/>
              </w:rPr>
              <w:t xml:space="preserve">Physician-authored</w:t>
            </w:r>
          </w:p>
        </w:tc>
        <w:tc>
          <w:tcPr>
            <w:tcW w:type="dxa" w:w="288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center"/>
            </w:pPr>
            <w:r>
              <w:rPr>
                <w:rFonts w:ascii="Calibri" w:cs="Calibri" w:eastAsia="Calibri" w:hAnsi="Calibri"/>
                <w:b w:val="false"/>
                <w:bCs w:val="false"/>
                <w:color w:val="6B7280"/>
                <w:sz w:val="20"/>
                <w:szCs w:val="20"/>
              </w:rPr>
              <w:t xml:space="preserve">Algorithmic output only</w:t>
            </w:r>
          </w:p>
        </w:tc>
      </w:tr>
      <w:tr>
        <w:tc>
          <w:tcPr>
            <w:tcW w:type="dxa" w:w="360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left"/>
            </w:pPr>
            <w:r>
              <w:rPr>
                <w:rFonts w:ascii="Calibri" w:cs="Calibri" w:eastAsia="Calibri" w:hAnsi="Calibri"/>
                <w:b w:val="false"/>
                <w:bCs w:val="false"/>
                <w:color w:val="1F2937"/>
                <w:sz w:val="20"/>
                <w:szCs w:val="20"/>
              </w:rPr>
              <w:t xml:space="preserve">HIPAA architecture</w:t>
            </w:r>
          </w:p>
        </w:tc>
        <w:tc>
          <w:tcPr>
            <w:tcW w:type="dxa" w:w="2880"/>
            <w:tcBorders>
              <w:top w:val="single" w:color="CCCCCC" w:sz="1"/>
              <w:left w:val="single" w:color="CCCCCC" w:sz="1"/>
              <w:bottom w:val="single" w:color="CCCCCC" w:sz="1"/>
              <w:right w:val="single" w:color="CCCCCC" w:sz="1"/>
            </w:tcBorders>
            <w:shd w:fill="EFF6FF" w:val="clear"/>
            <w:tcMar>
              <w:top w:type="dxa" w:w="80"/>
              <w:left w:type="dxa" w:w="140"/>
              <w:bottom w:type="dxa" w:w="80"/>
              <w:right w:type="dxa" w:w="140"/>
            </w:tcMar>
            <w:vAlign w:val="center"/>
          </w:tcPr>
          <w:p>
            <w:pPr>
              <w:jc w:val="center"/>
            </w:pPr>
            <w:r>
              <w:rPr>
                <w:rFonts w:ascii="Calibri" w:cs="Calibri" w:eastAsia="Calibri" w:hAnsi="Calibri"/>
                <w:b/>
                <w:bCs/>
                <w:color w:val="2563EB"/>
                <w:sz w:val="20"/>
                <w:szCs w:val="20"/>
              </w:rPr>
              <w:t xml:space="preserve">By design, PHI-free inputs</w:t>
            </w:r>
          </w:p>
        </w:tc>
        <w:tc>
          <w:tcPr>
            <w:tcW w:type="dxa" w:w="288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center"/>
            </w:pPr>
            <w:r>
              <w:rPr>
                <w:rFonts w:ascii="Calibri" w:cs="Calibri" w:eastAsia="Calibri" w:hAnsi="Calibri"/>
                <w:b w:val="false"/>
                <w:bCs w:val="false"/>
                <w:color w:val="6B7280"/>
                <w:sz w:val="20"/>
                <w:szCs w:val="20"/>
              </w:rPr>
              <w:t xml:space="preserve">Variable, often unverified</w:t>
            </w:r>
          </w:p>
        </w:tc>
      </w:tr>
      <w:tr>
        <w:tc>
          <w:tcPr>
            <w:tcW w:type="dxa" w:w="360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left"/>
            </w:pPr>
            <w:r>
              <w:rPr>
                <w:rFonts w:ascii="Calibri" w:cs="Calibri" w:eastAsia="Calibri" w:hAnsi="Calibri"/>
                <w:b w:val="false"/>
                <w:bCs w:val="false"/>
                <w:color w:val="1F2937"/>
                <w:sz w:val="20"/>
                <w:szCs w:val="20"/>
              </w:rPr>
              <w:t xml:space="preserve">Specialty society alignment</w:t>
            </w:r>
          </w:p>
        </w:tc>
        <w:tc>
          <w:tcPr>
            <w:tcW w:type="dxa" w:w="2880"/>
            <w:tcBorders>
              <w:top w:val="single" w:color="CCCCCC" w:sz="1"/>
              <w:left w:val="single" w:color="CCCCCC" w:sz="1"/>
              <w:bottom w:val="single" w:color="CCCCCC" w:sz="1"/>
              <w:right w:val="single" w:color="CCCCCC" w:sz="1"/>
            </w:tcBorders>
            <w:shd w:fill="EFF6FF" w:val="clear"/>
            <w:tcMar>
              <w:top w:type="dxa" w:w="80"/>
              <w:left w:type="dxa" w:w="140"/>
              <w:bottom w:type="dxa" w:w="80"/>
              <w:right w:type="dxa" w:w="140"/>
            </w:tcMar>
            <w:vAlign w:val="center"/>
          </w:tcPr>
          <w:p>
            <w:pPr>
              <w:jc w:val="center"/>
            </w:pPr>
            <w:r>
              <w:rPr>
                <w:rFonts w:ascii="Calibri" w:cs="Calibri" w:eastAsia="Calibri" w:hAnsi="Calibri"/>
                <w:b/>
                <w:bCs/>
                <w:color w:val="2563EB"/>
                <w:sz w:val="20"/>
                <w:szCs w:val="20"/>
              </w:rPr>
              <w:t xml:space="preserve">ASRA, ASIPP, ASPN, NANS, AAPM</w:t>
            </w:r>
          </w:p>
        </w:tc>
        <w:tc>
          <w:tcPr>
            <w:tcW w:type="dxa" w:w="288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center"/>
            </w:pPr>
            <w:r>
              <w:rPr>
                <w:rFonts w:ascii="Calibri" w:cs="Calibri" w:eastAsia="Calibri" w:hAnsi="Calibri"/>
                <w:b w:val="false"/>
                <w:bCs w:val="false"/>
                <w:color w:val="6B7280"/>
                <w:sz w:val="20"/>
                <w:szCs w:val="20"/>
              </w:rPr>
              <w:t xml:space="preserve">None formalized</w:t>
            </w:r>
          </w:p>
        </w:tc>
      </w:tr>
      <w:tr>
        <w:tc>
          <w:tcPr>
            <w:tcW w:type="dxa" w:w="360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left"/>
            </w:pPr>
            <w:r>
              <w:rPr>
                <w:rFonts w:ascii="Calibri" w:cs="Calibri" w:eastAsia="Calibri" w:hAnsi="Calibri"/>
                <w:b w:val="false"/>
                <w:bCs w:val="false"/>
                <w:color w:val="1F2937"/>
                <w:sz w:val="20"/>
                <w:szCs w:val="20"/>
              </w:rPr>
              <w:t xml:space="preserve">CME accreditation pathway</w:t>
            </w:r>
          </w:p>
        </w:tc>
        <w:tc>
          <w:tcPr>
            <w:tcW w:type="dxa" w:w="2880"/>
            <w:tcBorders>
              <w:top w:val="single" w:color="CCCCCC" w:sz="1"/>
              <w:left w:val="single" w:color="CCCCCC" w:sz="1"/>
              <w:bottom w:val="single" w:color="CCCCCC" w:sz="1"/>
              <w:right w:val="single" w:color="CCCCCC" w:sz="1"/>
            </w:tcBorders>
            <w:shd w:fill="EFF6FF" w:val="clear"/>
            <w:tcMar>
              <w:top w:type="dxa" w:w="80"/>
              <w:left w:type="dxa" w:w="140"/>
              <w:bottom w:type="dxa" w:w="80"/>
              <w:right w:type="dxa" w:w="140"/>
            </w:tcMar>
            <w:vAlign w:val="center"/>
          </w:tcPr>
          <w:p>
            <w:pPr>
              <w:jc w:val="center"/>
            </w:pPr>
            <w:r>
              <w:rPr>
                <w:rFonts w:ascii="Calibri" w:cs="Calibri" w:eastAsia="Calibri" w:hAnsi="Calibri"/>
                <w:b/>
                <w:bCs/>
                <w:color w:val="2563EB"/>
                <w:sz w:val="20"/>
                <w:szCs w:val="20"/>
              </w:rPr>
              <w:t xml:space="preserve">ACCME-aligned, in development</w:t>
            </w:r>
          </w:p>
        </w:tc>
        <w:tc>
          <w:tcPr>
            <w:tcW w:type="dxa" w:w="288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center"/>
            </w:pPr>
            <w:r>
              <w:rPr>
                <w:rFonts w:ascii="Calibri" w:cs="Calibri" w:eastAsia="Calibri" w:hAnsi="Calibri"/>
                <w:b w:val="false"/>
                <w:bCs w:val="false"/>
                <w:color w:val="6B7280"/>
                <w:sz w:val="20"/>
                <w:szCs w:val="20"/>
              </w:rPr>
              <w:t xml:space="preserve">None</w:t>
            </w:r>
          </w:p>
        </w:tc>
      </w:tr>
      <w:tr>
        <w:tc>
          <w:tcPr>
            <w:tcW w:type="dxa" w:w="360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left"/>
            </w:pPr>
            <w:r>
              <w:rPr>
                <w:rFonts w:ascii="Calibri" w:cs="Calibri" w:eastAsia="Calibri" w:hAnsi="Calibri"/>
                <w:b w:val="false"/>
                <w:bCs w:val="false"/>
                <w:color w:val="1F2937"/>
                <w:sz w:val="20"/>
                <w:szCs w:val="20"/>
              </w:rPr>
              <w:t xml:space="preserve">Coding accuracy review (CPT)</w:t>
            </w:r>
          </w:p>
        </w:tc>
        <w:tc>
          <w:tcPr>
            <w:tcW w:type="dxa" w:w="2880"/>
            <w:tcBorders>
              <w:top w:val="single" w:color="CCCCCC" w:sz="1"/>
              <w:left w:val="single" w:color="CCCCCC" w:sz="1"/>
              <w:bottom w:val="single" w:color="CCCCCC" w:sz="1"/>
              <w:right w:val="single" w:color="CCCCCC" w:sz="1"/>
            </w:tcBorders>
            <w:shd w:fill="EFF6FF" w:val="clear"/>
            <w:tcMar>
              <w:top w:type="dxa" w:w="80"/>
              <w:left w:type="dxa" w:w="140"/>
              <w:bottom w:type="dxa" w:w="80"/>
              <w:right w:type="dxa" w:w="140"/>
            </w:tcMar>
            <w:vAlign w:val="center"/>
          </w:tcPr>
          <w:p>
            <w:pPr>
              <w:jc w:val="center"/>
            </w:pPr>
            <w:r>
              <w:rPr>
                <w:rFonts w:ascii="Calibri" w:cs="Calibri" w:eastAsia="Calibri" w:hAnsi="Calibri"/>
                <w:b/>
                <w:bCs/>
                <w:color w:val="2563EB"/>
                <w:sz w:val="20"/>
                <w:szCs w:val="20"/>
              </w:rPr>
              <w:t xml:space="preserve">Physician-verified per procedure</w:t>
            </w:r>
          </w:p>
        </w:tc>
        <w:tc>
          <w:tcPr>
            <w:tcW w:type="dxa" w:w="288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center"/>
            </w:pPr>
            <w:r>
              <w:rPr>
                <w:rFonts w:ascii="Calibri" w:cs="Calibri" w:eastAsia="Calibri" w:hAnsi="Calibri"/>
                <w:b w:val="false"/>
                <w:bCs w:val="false"/>
                <w:color w:val="6B7280"/>
                <w:sz w:val="20"/>
                <w:szCs w:val="20"/>
              </w:rPr>
              <w:t xml:space="preserve">No clinical verification</w:t>
            </w:r>
          </w:p>
        </w:tc>
      </w:tr>
      <w:tr>
        <w:tc>
          <w:tcPr>
            <w:tcW w:type="dxa" w:w="360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left"/>
            </w:pPr>
            <w:r>
              <w:rPr>
                <w:rFonts w:ascii="Calibri" w:cs="Calibri" w:eastAsia="Calibri" w:hAnsi="Calibri"/>
                <w:b w:val="false"/>
                <w:bCs w:val="false"/>
                <w:color w:val="1F2937"/>
                <w:sz w:val="20"/>
                <w:szCs w:val="20"/>
              </w:rPr>
              <w:t xml:space="preserve">Liability exposure for practices</w:t>
            </w:r>
          </w:p>
        </w:tc>
        <w:tc>
          <w:tcPr>
            <w:tcW w:type="dxa" w:w="2880"/>
            <w:tcBorders>
              <w:top w:val="single" w:color="CCCCCC" w:sz="1"/>
              <w:left w:val="single" w:color="CCCCCC" w:sz="1"/>
              <w:bottom w:val="single" w:color="CCCCCC" w:sz="1"/>
              <w:right w:val="single" w:color="CCCCCC" w:sz="1"/>
            </w:tcBorders>
            <w:shd w:fill="EFF6FF" w:val="clear"/>
            <w:tcMar>
              <w:top w:type="dxa" w:w="80"/>
              <w:left w:type="dxa" w:w="140"/>
              <w:bottom w:type="dxa" w:w="80"/>
              <w:right w:type="dxa" w:w="140"/>
            </w:tcMar>
            <w:vAlign w:val="center"/>
          </w:tcPr>
          <w:p>
            <w:pPr>
              <w:jc w:val="center"/>
            </w:pPr>
            <w:r>
              <w:rPr>
                <w:rFonts w:ascii="Calibri" w:cs="Calibri" w:eastAsia="Calibri" w:hAnsi="Calibri"/>
                <w:b/>
                <w:bCs/>
                <w:color w:val="2563EB"/>
                <w:sz w:val="20"/>
                <w:szCs w:val="20"/>
              </w:rPr>
              <w:t xml:space="preserve">Reduced (physician signatory)</w:t>
            </w:r>
          </w:p>
        </w:tc>
        <w:tc>
          <w:tcPr>
            <w:tcW w:type="dxa" w:w="2880"/>
            <w:tcBorders>
              <w:top w:val="single" w:color="CCCCCC" w:sz="1"/>
              <w:left w:val="single" w:color="CCCCCC" w:sz="1"/>
              <w:bottom w:val="single" w:color="CCCCCC" w:sz="1"/>
              <w:right w:val="single" w:color="CCCCCC" w:sz="1"/>
            </w:tcBorders>
            <w:shd w:fill="F3F4F6" w:val="clear"/>
            <w:tcMar>
              <w:top w:type="dxa" w:w="80"/>
              <w:left w:type="dxa" w:w="140"/>
              <w:bottom w:type="dxa" w:w="80"/>
              <w:right w:type="dxa" w:w="140"/>
            </w:tcMar>
            <w:vAlign w:val="center"/>
          </w:tcPr>
          <w:p>
            <w:pPr>
              <w:jc w:val="center"/>
            </w:pPr>
            <w:r>
              <w:rPr>
                <w:rFonts w:ascii="Calibri" w:cs="Calibri" w:eastAsia="Calibri" w:hAnsi="Calibri"/>
                <w:b w:val="false"/>
                <w:bCs w:val="false"/>
                <w:color w:val="6B7280"/>
                <w:sz w:val="20"/>
                <w:szCs w:val="20"/>
              </w:rPr>
              <w:t xml:space="preserve">Practice bears full risk</w:t>
            </w:r>
          </w:p>
        </w:tc>
      </w:tr>
    </w:tbl>
    <w:p>
      <w:pPr>
        <w:spacing w:after="160" w:before="0"/>
      </w:pPr>
    </w:p>
    <w:p>
      <w:pPr>
        <w:spacing w:after="140" w:before="100"/>
      </w:pPr>
      <w:r>
        <w:rPr>
          <w:rFonts w:ascii="Calibri" w:cs="Calibri" w:eastAsia="Calibri" w:hAnsi="Calibri"/>
          <w:sz w:val="22"/>
          <w:szCs w:val="22"/>
        </w:rPr>
        <w:t xml:space="preserve">The comparison above is not a criticism of what technology can accomplish. It is a description of what technology alone cannot guarantee. Clinical accuracy, specialty-specific safety protocols, and medico-legal accountability require physicians. PrepQ has them. Most competitors do not.</w:t>
      </w:r>
    </w:p>
    <w:p>
      <w:pPr>
        <w:spacing w:after="200" w:before="0"/>
      </w:pPr>
    </w:p>
    <w:p>
      <w:r>
        <w:br w:type="page"/>
      </w:r>
    </w:p>
    <w:p>
      <w:pPr>
        <w:pStyle w:val="Heading1"/>
        <w:pBdr>
          <w:bottom w:val="single" w:color="2563EB" w:sz="6" w:space="6"/>
        </w:pBdr>
        <w:spacing w:after="180" w:before="360"/>
      </w:pPr>
      <w:r>
        <w:rPr>
          <w:rFonts w:ascii="Calibri" w:cs="Calibri" w:eastAsia="Calibri" w:hAnsi="Calibri"/>
          <w:b/>
          <w:bCs/>
          <w:color w:val="1A3A5C"/>
          <w:sz w:val="32"/>
          <w:szCs w:val="32"/>
        </w:rPr>
        <w:t xml:space="preserve">7. Use Cases by Stakeholder</w:t>
      </w:r>
    </w:p>
    <w:p>
      <w:pPr>
        <w:pStyle w:val="Heading2"/>
        <w:spacing w:after="120" w:before="280"/>
      </w:pPr>
      <w:r>
        <w:rPr>
          <w:rFonts w:ascii="Calibri" w:cs="Calibri" w:eastAsia="Calibri" w:hAnsi="Calibri"/>
          <w:b/>
          <w:bCs/>
          <w:color w:val="2563EB"/>
          <w:sz w:val="26"/>
          <w:szCs w:val="26"/>
        </w:rPr>
        <w:t xml:space="preserve">7.1 Hospital and Surgery Center Compliance Officers</w:t>
      </w:r>
    </w:p>
    <w:p>
      <w:pPr>
        <w:spacing w:after="140" w:before="100"/>
      </w:pPr>
      <w:r>
        <w:rPr>
          <w:rFonts w:ascii="Calibri" w:cs="Calibri" w:eastAsia="Calibri" w:hAnsi="Calibri"/>
          <w:sz w:val="22"/>
          <w:szCs w:val="22"/>
        </w:rPr>
        <w:t xml:space="preserve">Institutions evaluating patient education vendors face growing pressure to document the clinical credibility of tools deployed in their name. PrepQ's physician oversight structure, formal review process, and HIPAA-by-design architecture provide the documentation layer that compliance officers require. The whitepaper you are reading was designed specifically for this audience.</w:t>
      </w:r>
    </w:p>
    <w:p>
      <w:pPr>
        <w:spacing w:after="80" w:before="0"/>
      </w:pPr>
    </w:p>
    <w:p>
      <w:pPr>
        <w:pStyle w:val="Heading2"/>
        <w:spacing w:after="120" w:before="280"/>
      </w:pPr>
      <w:r>
        <w:rPr>
          <w:rFonts w:ascii="Calibri" w:cs="Calibri" w:eastAsia="Calibri" w:hAnsi="Calibri"/>
          <w:b/>
          <w:bCs/>
          <w:color w:val="2563EB"/>
          <w:sz w:val="26"/>
          <w:szCs w:val="26"/>
        </w:rPr>
        <w:t xml:space="preserve">7.2 Payers and Utilization Management Teams</w:t>
      </w:r>
    </w:p>
    <w:p>
      <w:pPr>
        <w:spacing w:after="140" w:before="100"/>
      </w:pPr>
      <w:r>
        <w:rPr>
          <w:rFonts w:ascii="Calibri" w:cs="Calibri" w:eastAsia="Calibri" w:hAnsi="Calibri"/>
          <w:sz w:val="22"/>
          <w:szCs w:val="22"/>
        </w:rPr>
        <w:t xml:space="preserve">Payers are increasingly using AI tools to manage prior authorization and utilization review. PrepQ's payer compliance content, written by physicians who understand what utilization management teams are looking for, reduces the back-and-forth that delays approvals and creates administrative burden for practices. Physician-authored prior authorization letters, accurate ICD-10 linkages, and denial management guidance all serve this function.</w:t>
      </w:r>
    </w:p>
    <w:p>
      <w:pPr>
        <w:spacing w:after="80" w:before="0"/>
      </w:pPr>
    </w:p>
    <w:p>
      <w:pPr>
        <w:pStyle w:val="Heading2"/>
        <w:spacing w:after="120" w:before="280"/>
      </w:pPr>
      <w:r>
        <w:rPr>
          <w:rFonts w:ascii="Calibri" w:cs="Calibri" w:eastAsia="Calibri" w:hAnsi="Calibri"/>
          <w:b/>
          <w:bCs/>
          <w:color w:val="2563EB"/>
          <w:sz w:val="26"/>
          <w:szCs w:val="26"/>
        </w:rPr>
        <w:t xml:space="preserve">7.3 Healthcare System Procurement Teams</w:t>
      </w:r>
    </w:p>
    <w:p>
      <w:pPr>
        <w:spacing w:after="140" w:before="100"/>
      </w:pPr>
      <w:r>
        <w:rPr>
          <w:rFonts w:ascii="Calibri" w:cs="Calibri" w:eastAsia="Calibri" w:hAnsi="Calibri"/>
          <w:sz w:val="22"/>
          <w:szCs w:val="22"/>
        </w:rPr>
        <w:t xml:space="preserve">System procurement teams face a vendor landscape in which every AI tool claims clinical accuracy. PrepQ's differentiator is not a claim. It is a governance structure with three named, licensed physicians and a documented review process. For procurement teams that must represent their vendor selection to clinical leadership and legal counsel, that structure provides a defensible basis for selection.</w:t>
      </w:r>
    </w:p>
    <w:p>
      <w:pPr>
        <w:spacing w:after="80" w:before="0"/>
      </w:pPr>
    </w:p>
    <w:p>
      <w:pPr>
        <w:pStyle w:val="Heading2"/>
        <w:spacing w:after="120" w:before="280"/>
      </w:pPr>
      <w:r>
        <w:rPr>
          <w:rFonts w:ascii="Calibri" w:cs="Calibri" w:eastAsia="Calibri" w:hAnsi="Calibri"/>
          <w:b/>
          <w:bCs/>
          <w:color w:val="2563EB"/>
          <w:sz w:val="26"/>
          <w:szCs w:val="26"/>
        </w:rPr>
        <w:t xml:space="preserve">7.4 Interventional Practices</w:t>
      </w:r>
    </w:p>
    <w:p>
      <w:pPr>
        <w:spacing w:after="140" w:before="100"/>
      </w:pPr>
      <w:r>
        <w:rPr>
          <w:rFonts w:ascii="Calibri" w:cs="Calibri" w:eastAsia="Calibri" w:hAnsi="Calibri"/>
          <w:sz w:val="22"/>
          <w:szCs w:val="22"/>
        </w:rPr>
        <w:t xml:space="preserve">For the interventional pain, orthopedic, and urology practices that form PrepQ's primary market, the value proposition is direct. Accurate anticoagulation guidance reduces periprocedural bleeding risk. Physician-authored prior authorization letters improve approval rates. Correct CPT coding reduces denials. Post-procedure instructions written by physicians reduce patient calls and unnecessary emergency department visits. PrepQ delivers all of these, with a physician's name on the content.</w:t>
      </w:r>
    </w:p>
    <w:p>
      <w:pPr>
        <w:spacing w:after="200" w:before="0"/>
      </w:pPr>
    </w:p>
    <w:p>
      <w:r>
        <w:br w:type="page"/>
      </w:r>
    </w:p>
    <w:p>
      <w:pPr>
        <w:pStyle w:val="Heading1"/>
        <w:pBdr>
          <w:bottom w:val="single" w:color="2563EB" w:sz="6" w:space="6"/>
        </w:pBdr>
        <w:spacing w:after="180" w:before="360"/>
      </w:pPr>
      <w:r>
        <w:rPr>
          <w:rFonts w:ascii="Calibri" w:cs="Calibri" w:eastAsia="Calibri" w:hAnsi="Calibri"/>
          <w:b/>
          <w:bCs/>
          <w:color w:val="1A3A5C"/>
          <w:sz w:val="32"/>
          <w:szCs w:val="32"/>
        </w:rPr>
        <w:t xml:space="preserve">8. Conclusion and Next Steps</w:t>
      </w:r>
    </w:p>
    <w:p>
      <w:pPr>
        <w:spacing w:after="140" w:before="100"/>
      </w:pPr>
      <w:r>
        <w:rPr>
          <w:rFonts w:ascii="Calibri" w:cs="Calibri" w:eastAsia="Calibri" w:hAnsi="Calibri"/>
          <w:sz w:val="22"/>
          <w:szCs w:val="22"/>
        </w:rPr>
        <w:t xml:space="preserve">The AI-in-healthcare market is consolidating around a simple question: who is accountable for clinical accuracy? Technology companies can build fast and scale quickly. They cannot practice medicine, sign their name to a clinical recommendation, or carry a medical license that regulators can hold accountable when something goes wrong.</w:t>
      </w:r>
    </w:p>
    <w:p>
      <w:pPr>
        <w:spacing w:after="80" w:before="0"/>
      </w:pPr>
    </w:p>
    <w:p>
      <w:pPr>
        <w:spacing w:after="140" w:before="100"/>
      </w:pPr>
      <w:r>
        <w:rPr>
          <w:rFonts w:ascii="Calibri" w:cs="Calibri" w:eastAsia="Calibri" w:hAnsi="Calibri"/>
          <w:sz w:val="22"/>
          <w:szCs w:val="22"/>
        </w:rPr>
        <w:t xml:space="preserve">PrepQ is built on the premise that physician oversight is not a compliance checkbox. It is the core product. Every procedure module, every anticoagulation recommendation, every prior authorization template, and every post-procedure instruction on PrepQ has a physician's name behind it.</w:t>
      </w:r>
    </w:p>
    <w:p>
      <w:pPr>
        <w:spacing w:after="80" w:before="0"/>
      </w:pPr>
    </w:p>
    <w:p>
      <w:pPr>
        <w:spacing w:after="140" w:before="100"/>
      </w:pPr>
      <w:r>
        <w:rPr>
          <w:rFonts w:ascii="Calibri" w:cs="Calibri" w:eastAsia="Calibri" w:hAnsi="Calibri"/>
          <w:sz w:val="22"/>
          <w:szCs w:val="22"/>
        </w:rPr>
        <w:t xml:space="preserve">That is our strongest argument to every compliance officer, payer, and procurement team evaluating AI-assisted patient education. It is also the argument that no tech-only competitor can make.</w:t>
      </w:r>
    </w:p>
    <w:p>
      <w:pPr>
        <w:spacing w:after="1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BEAFE" w:val="clear"/>
            <w:tcMar>
              <w:top w:type="dxa" w:w="160"/>
              <w:left w:type="dxa" w:w="240"/>
              <w:bottom w:type="dxa" w:w="160"/>
              <w:right w:type="dxa" w:w="240"/>
            </w:tcMar>
          </w:tcPr>
          <w:p>
            <w:pPr>
              <w:spacing w:after="60" w:before="0"/>
            </w:pPr>
            <w:r>
              <w:rPr>
                <w:rFonts w:ascii="Calibri" w:cs="Calibri" w:eastAsia="Calibri" w:hAnsi="Calibri"/>
                <w:b/>
                <w:bCs/>
                <w:color w:val="1A3A5C"/>
                <w:sz w:val="20"/>
                <w:szCs w:val="20"/>
              </w:rPr>
              <w:t xml:space="preserve">Request a Compliance Review Session</w:t>
            </w:r>
          </w:p>
          <w:p>
            <w:pPr>
              <w:spacing w:after="0" w:before="0"/>
            </w:pPr>
            <w:r>
              <w:rPr>
                <w:rFonts w:ascii="Calibri" w:cs="Calibri" w:eastAsia="Calibri" w:hAnsi="Calibri"/>
                <w:color w:val="1F2937"/>
                <w:sz w:val="22"/>
                <w:szCs w:val="22"/>
              </w:rPr>
              <w:t xml:space="preserve">PrepQ's clinical leadership team is available to walk compliance officers, legal teams, and procurement committees through the governance framework described in this whitepaper. Contact us at hello@prepq.health to schedule a session.</w:t>
            </w:r>
          </w:p>
        </w:tc>
      </w:tr>
    </w:tbl>
    <w:p>
      <w:pPr>
        <w:spacing w:after="200" w:before="0"/>
      </w:pPr>
    </w:p>
    <w:p>
      <w:r>
        <w:br w:type="page"/>
      </w:r>
    </w:p>
    <w:p>
      <w:pPr>
        <w:pStyle w:val="Heading1"/>
        <w:pBdr>
          <w:bottom w:val="single" w:color="2563EB" w:sz="6" w:space="6"/>
        </w:pBdr>
        <w:spacing w:after="180" w:before="360"/>
      </w:pPr>
      <w:r>
        <w:rPr>
          <w:rFonts w:ascii="Calibri" w:cs="Calibri" w:eastAsia="Calibri" w:hAnsi="Calibri"/>
          <w:b/>
          <w:bCs/>
          <w:color w:val="1A3A5C"/>
          <w:sz w:val="32"/>
          <w:szCs w:val="32"/>
        </w:rPr>
        <w:t xml:space="preserve">Appendix A: Procedure Coverage and ASRA Risk Classification</w:t>
      </w:r>
    </w:p>
    <w:p>
      <w:pPr>
        <w:spacing w:after="140" w:before="100"/>
      </w:pPr>
      <w:r>
        <w:rPr>
          <w:rFonts w:ascii="Calibri" w:cs="Calibri" w:eastAsia="Calibri" w:hAnsi="Calibri"/>
          <w:sz w:val="22"/>
          <w:szCs w:val="22"/>
        </w:rPr>
        <w:t xml:space="preserve">The following list reflects PrepQ's procedure coverage as of version 1.0, with ASRA risk classification noted for interventional pain procedures.</w:t>
      </w:r>
    </w:p>
    <w:p>
      <w:pPr>
        <w:spacing w:after="80" w:before="0"/>
      </w:pPr>
    </w:p>
    <w:p>
      <w:pPr>
        <w:pStyle w:val="Heading2"/>
        <w:spacing w:after="120" w:before="280"/>
      </w:pPr>
      <w:r>
        <w:rPr>
          <w:rFonts w:ascii="Calibri" w:cs="Calibri" w:eastAsia="Calibri" w:hAnsi="Calibri"/>
          <w:b/>
          <w:bCs/>
          <w:color w:val="2563EB"/>
          <w:sz w:val="26"/>
          <w:szCs w:val="26"/>
        </w:rPr>
        <w:t xml:space="preserve">High Risk (Neuraxial and Poorly Compressible)</w:t>
      </w:r>
    </w:p>
    <w:p>
      <w:pPr>
        <w:pStyle w:val="ListParagraph"/>
        <w:numPr>
          <w:ilvl w:val="0"/>
          <w:numId w:val="2"/>
        </w:numPr>
        <w:spacing w:after="60" w:before="60"/>
        <w:ind w:left="360" w:hanging="240"/>
      </w:pPr>
      <w:r>
        <w:rPr>
          <w:rFonts w:ascii="Calibri" w:cs="Calibri" w:eastAsia="Calibri" w:hAnsi="Calibri"/>
          <w:sz w:val="22"/>
          <w:szCs w:val="22"/>
        </w:rPr>
        <w:t xml:space="preserve">Lumbar epidural steroid injection (LESI)</w:t>
      </w:r>
    </w:p>
    <w:p>
      <w:pPr>
        <w:pStyle w:val="ListParagraph"/>
        <w:numPr>
          <w:ilvl w:val="0"/>
          <w:numId w:val="2"/>
        </w:numPr>
        <w:spacing w:after="60" w:before="60"/>
        <w:ind w:left="360" w:hanging="240"/>
      </w:pPr>
      <w:r>
        <w:rPr>
          <w:rFonts w:ascii="Calibri" w:cs="Calibri" w:eastAsia="Calibri" w:hAnsi="Calibri"/>
          <w:sz w:val="22"/>
          <w:szCs w:val="22"/>
        </w:rPr>
        <w:t xml:space="preserve">Cervical epidural steroid injection (CESI)</w:t>
      </w:r>
    </w:p>
    <w:p>
      <w:pPr>
        <w:pStyle w:val="ListParagraph"/>
        <w:numPr>
          <w:ilvl w:val="0"/>
          <w:numId w:val="2"/>
        </w:numPr>
        <w:spacing w:after="60" w:before="60"/>
        <w:ind w:left="360" w:hanging="240"/>
      </w:pPr>
      <w:r>
        <w:rPr>
          <w:rFonts w:ascii="Calibri" w:cs="Calibri" w:eastAsia="Calibri" w:hAnsi="Calibri"/>
          <w:sz w:val="22"/>
          <w:szCs w:val="22"/>
        </w:rPr>
        <w:t xml:space="preserve">Lumbar transforaminal ESI (LTFESI)</w:t>
      </w:r>
    </w:p>
    <w:p>
      <w:pPr>
        <w:pStyle w:val="ListParagraph"/>
        <w:numPr>
          <w:ilvl w:val="0"/>
          <w:numId w:val="2"/>
        </w:numPr>
        <w:spacing w:after="60" w:before="60"/>
        <w:ind w:left="360" w:hanging="240"/>
      </w:pPr>
      <w:r>
        <w:rPr>
          <w:rFonts w:ascii="Calibri" w:cs="Calibri" w:eastAsia="Calibri" w:hAnsi="Calibri"/>
          <w:sz w:val="22"/>
          <w:szCs w:val="22"/>
        </w:rPr>
        <w:t xml:space="preserve">Cervical transforaminal ESI (CTFESI)</w:t>
      </w:r>
    </w:p>
    <w:p>
      <w:pPr>
        <w:pStyle w:val="ListParagraph"/>
        <w:numPr>
          <w:ilvl w:val="0"/>
          <w:numId w:val="2"/>
        </w:numPr>
        <w:spacing w:after="60" w:before="60"/>
        <w:ind w:left="360" w:hanging="240"/>
      </w:pPr>
      <w:r>
        <w:rPr>
          <w:rFonts w:ascii="Calibri" w:cs="Calibri" w:eastAsia="Calibri" w:hAnsi="Calibri"/>
          <w:sz w:val="22"/>
          <w:szCs w:val="22"/>
        </w:rPr>
        <w:t xml:space="preserve">Spinal cord stimulator permanent implant (SCSPERM)</w:t>
      </w:r>
    </w:p>
    <w:p>
      <w:pPr>
        <w:pStyle w:val="ListParagraph"/>
        <w:numPr>
          <w:ilvl w:val="0"/>
          <w:numId w:val="2"/>
        </w:numPr>
        <w:spacing w:after="60" w:before="60"/>
        <w:ind w:left="360" w:hanging="240"/>
      </w:pPr>
      <w:r>
        <w:rPr>
          <w:rFonts w:ascii="Calibri" w:cs="Calibri" w:eastAsia="Calibri" w:hAnsi="Calibri"/>
          <w:sz w:val="22"/>
          <w:szCs w:val="22"/>
        </w:rPr>
        <w:t xml:space="preserve">Intrathecal drug delivery pump (ITPUMP)</w:t>
      </w:r>
    </w:p>
    <w:p>
      <w:pPr>
        <w:pStyle w:val="ListParagraph"/>
        <w:numPr>
          <w:ilvl w:val="0"/>
          <w:numId w:val="2"/>
        </w:numPr>
        <w:spacing w:after="60" w:before="60"/>
        <w:ind w:left="360" w:hanging="240"/>
      </w:pPr>
      <w:r>
        <w:rPr>
          <w:rFonts w:ascii="Calibri" w:cs="Calibri" w:eastAsia="Calibri" w:hAnsi="Calibri"/>
          <w:sz w:val="22"/>
          <w:szCs w:val="22"/>
        </w:rPr>
        <w:t xml:space="preserve">Epidural adhesiolysis (ADHESIO)</w:t>
      </w:r>
    </w:p>
    <w:p>
      <w:pPr>
        <w:pStyle w:val="ListParagraph"/>
        <w:numPr>
          <w:ilvl w:val="0"/>
          <w:numId w:val="2"/>
        </w:numPr>
        <w:spacing w:after="60" w:before="60"/>
        <w:ind w:left="360" w:hanging="240"/>
      </w:pPr>
      <w:r>
        <w:rPr>
          <w:rFonts w:ascii="Calibri" w:cs="Calibri" w:eastAsia="Calibri" w:hAnsi="Calibri"/>
          <w:sz w:val="22"/>
          <w:szCs w:val="22"/>
        </w:rPr>
        <w:t xml:space="preserve">Atlantoaxial joint injection (AAJI)</w:t>
      </w:r>
    </w:p>
    <w:p>
      <w:pPr>
        <w:pStyle w:val="ListParagraph"/>
        <w:numPr>
          <w:ilvl w:val="0"/>
          <w:numId w:val="2"/>
        </w:numPr>
        <w:spacing w:after="60" w:before="60"/>
        <w:ind w:left="360" w:hanging="240"/>
      </w:pPr>
      <w:r>
        <w:rPr>
          <w:rFonts w:ascii="Calibri" w:cs="Calibri" w:eastAsia="Calibri" w:hAnsi="Calibri"/>
          <w:sz w:val="22"/>
          <w:szCs w:val="22"/>
        </w:rPr>
        <w:t xml:space="preserve">Atlantooccipital joint injection (AOJI)</w:t>
      </w:r>
    </w:p>
    <w:p>
      <w:pPr>
        <w:spacing w:after="80" w:before="0"/>
      </w:pPr>
    </w:p>
    <w:p>
      <w:pPr>
        <w:pStyle w:val="Heading2"/>
        <w:spacing w:after="120" w:before="280"/>
      </w:pPr>
      <w:r>
        <w:rPr>
          <w:rFonts w:ascii="Calibri" w:cs="Calibri" w:eastAsia="Calibri" w:hAnsi="Calibri"/>
          <w:b/>
          <w:bCs/>
          <w:color w:val="2563EB"/>
          <w:sz w:val="26"/>
          <w:szCs w:val="26"/>
        </w:rPr>
        <w:t xml:space="preserve">Intermediate Risk</w:t>
      </w:r>
    </w:p>
    <w:p>
      <w:pPr>
        <w:pStyle w:val="ListParagraph"/>
        <w:numPr>
          <w:ilvl w:val="0"/>
          <w:numId w:val="2"/>
        </w:numPr>
        <w:spacing w:after="60" w:before="60"/>
        <w:ind w:left="360" w:hanging="240"/>
      </w:pPr>
      <w:r>
        <w:rPr>
          <w:rFonts w:ascii="Calibri" w:cs="Calibri" w:eastAsia="Calibri" w:hAnsi="Calibri"/>
          <w:sz w:val="22"/>
          <w:szCs w:val="22"/>
        </w:rPr>
        <w:t xml:space="preserve">Medial branch blocks and radiofrequency ablation (lumbar, cervical, thoracic, sacroiliac)</w:t>
      </w:r>
    </w:p>
    <w:p>
      <w:pPr>
        <w:pStyle w:val="ListParagraph"/>
        <w:numPr>
          <w:ilvl w:val="0"/>
          <w:numId w:val="2"/>
        </w:numPr>
        <w:spacing w:after="60" w:before="60"/>
        <w:ind w:left="360" w:hanging="240"/>
      </w:pPr>
      <w:r>
        <w:rPr>
          <w:rFonts w:ascii="Calibri" w:cs="Calibri" w:eastAsia="Calibri" w:hAnsi="Calibri"/>
          <w:sz w:val="22"/>
          <w:szCs w:val="22"/>
        </w:rPr>
        <w:t xml:space="preserve">Sacroiliac joint injection and fusion procedures</w:t>
      </w:r>
    </w:p>
    <w:p>
      <w:pPr>
        <w:pStyle w:val="ListParagraph"/>
        <w:numPr>
          <w:ilvl w:val="0"/>
          <w:numId w:val="2"/>
        </w:numPr>
        <w:spacing w:after="60" w:before="60"/>
        <w:ind w:left="360" w:hanging="240"/>
      </w:pPr>
      <w:r>
        <w:rPr>
          <w:rFonts w:ascii="Calibri" w:cs="Calibri" w:eastAsia="Calibri" w:hAnsi="Calibri"/>
          <w:sz w:val="22"/>
          <w:szCs w:val="22"/>
        </w:rPr>
        <w:t xml:space="preserve">Stellate ganglion block</w:t>
      </w:r>
    </w:p>
    <w:p>
      <w:pPr>
        <w:pStyle w:val="ListParagraph"/>
        <w:numPr>
          <w:ilvl w:val="0"/>
          <w:numId w:val="2"/>
        </w:numPr>
        <w:spacing w:after="60" w:before="60"/>
        <w:ind w:left="360" w:hanging="240"/>
      </w:pPr>
      <w:r>
        <w:rPr>
          <w:rFonts w:ascii="Calibri" w:cs="Calibri" w:eastAsia="Calibri" w:hAnsi="Calibri"/>
          <w:sz w:val="22"/>
          <w:szCs w:val="22"/>
        </w:rPr>
        <w:t xml:space="preserve">Lumbar sympathetic block</w:t>
      </w:r>
    </w:p>
    <w:p>
      <w:pPr>
        <w:pStyle w:val="ListParagraph"/>
        <w:numPr>
          <w:ilvl w:val="0"/>
          <w:numId w:val="2"/>
        </w:numPr>
        <w:spacing w:after="60" w:before="60"/>
        <w:ind w:left="360" w:hanging="240"/>
      </w:pPr>
      <w:r>
        <w:rPr>
          <w:rFonts w:ascii="Calibri" w:cs="Calibri" w:eastAsia="Calibri" w:hAnsi="Calibri"/>
          <w:sz w:val="22"/>
          <w:szCs w:val="22"/>
        </w:rPr>
        <w:t xml:space="preserve">Celiac plexus neurolysis</w:t>
      </w:r>
    </w:p>
    <w:p>
      <w:pPr>
        <w:pStyle w:val="ListParagraph"/>
        <w:numPr>
          <w:ilvl w:val="0"/>
          <w:numId w:val="2"/>
        </w:numPr>
        <w:spacing w:after="60" w:before="60"/>
        <w:ind w:left="360" w:hanging="240"/>
      </w:pPr>
      <w:r>
        <w:rPr>
          <w:rFonts w:ascii="Calibri" w:cs="Calibri" w:eastAsia="Calibri" w:hAnsi="Calibri"/>
          <w:sz w:val="22"/>
          <w:szCs w:val="22"/>
        </w:rPr>
        <w:t xml:space="preserve">Spinal cord stimulator trial</w:t>
      </w:r>
    </w:p>
    <w:p>
      <w:pPr>
        <w:pStyle w:val="ListParagraph"/>
        <w:numPr>
          <w:ilvl w:val="0"/>
          <w:numId w:val="2"/>
        </w:numPr>
        <w:spacing w:after="60" w:before="60"/>
        <w:ind w:left="360" w:hanging="240"/>
      </w:pPr>
      <w:r>
        <w:rPr>
          <w:rFonts w:ascii="Calibri" w:cs="Calibri" w:eastAsia="Calibri" w:hAnsi="Calibri"/>
          <w:sz w:val="22"/>
          <w:szCs w:val="22"/>
        </w:rPr>
        <w:t xml:space="preserve">Vertebroplasty and kyphoplasty</w:t>
      </w:r>
    </w:p>
    <w:p>
      <w:pPr>
        <w:pStyle w:val="ListParagraph"/>
        <w:numPr>
          <w:ilvl w:val="0"/>
          <w:numId w:val="2"/>
        </w:numPr>
        <w:spacing w:after="60" w:before="60"/>
        <w:ind w:left="360" w:hanging="240"/>
      </w:pPr>
      <w:r>
        <w:rPr>
          <w:rFonts w:ascii="Calibri" w:cs="Calibri" w:eastAsia="Calibri" w:hAnsi="Calibri"/>
          <w:sz w:val="22"/>
          <w:szCs w:val="22"/>
        </w:rPr>
        <w:t xml:space="preserve">Discography and percutaneous disc decompression</w:t>
      </w:r>
    </w:p>
    <w:p>
      <w:pPr>
        <w:pStyle w:val="ListParagraph"/>
        <w:numPr>
          <w:ilvl w:val="0"/>
          <w:numId w:val="2"/>
        </w:numPr>
        <w:spacing w:after="60" w:before="60"/>
        <w:ind w:left="360" w:hanging="240"/>
      </w:pPr>
      <w:r>
        <w:rPr>
          <w:rFonts w:ascii="Calibri" w:cs="Calibri" w:eastAsia="Calibri" w:hAnsi="Calibri"/>
          <w:sz w:val="22"/>
          <w:szCs w:val="22"/>
        </w:rPr>
        <w:t xml:space="preserve">Cervical facet injection and thoracic paravertebral block</w:t>
      </w:r>
    </w:p>
    <w:p>
      <w:pPr>
        <w:spacing w:after="80" w:before="0"/>
      </w:pPr>
    </w:p>
    <w:p>
      <w:pPr>
        <w:pStyle w:val="Heading2"/>
        <w:spacing w:after="120" w:before="280"/>
      </w:pPr>
      <w:r>
        <w:rPr>
          <w:rFonts w:ascii="Calibri" w:cs="Calibri" w:eastAsia="Calibri" w:hAnsi="Calibri"/>
          <w:b/>
          <w:bCs/>
          <w:color w:val="2563EB"/>
          <w:sz w:val="26"/>
          <w:szCs w:val="26"/>
        </w:rPr>
        <w:t xml:space="preserve">Low Risk</w:t>
      </w:r>
    </w:p>
    <w:p>
      <w:pPr>
        <w:pStyle w:val="ListParagraph"/>
        <w:numPr>
          <w:ilvl w:val="0"/>
          <w:numId w:val="2"/>
        </w:numPr>
        <w:spacing w:after="60" w:before="60"/>
        <w:ind w:left="360" w:hanging="240"/>
      </w:pPr>
      <w:r>
        <w:rPr>
          <w:rFonts w:ascii="Calibri" w:cs="Calibri" w:eastAsia="Calibri" w:hAnsi="Calibri"/>
          <w:sz w:val="22"/>
          <w:szCs w:val="22"/>
        </w:rPr>
        <w:t xml:space="preserve">Greater occipital nerve block and general peripheral nerve blocks</w:t>
      </w:r>
    </w:p>
    <w:p>
      <w:pPr>
        <w:pStyle w:val="ListParagraph"/>
        <w:numPr>
          <w:ilvl w:val="0"/>
          <w:numId w:val="2"/>
        </w:numPr>
        <w:spacing w:after="60" w:before="60"/>
        <w:ind w:left="360" w:hanging="240"/>
      </w:pPr>
      <w:r>
        <w:rPr>
          <w:rFonts w:ascii="Calibri" w:cs="Calibri" w:eastAsia="Calibri" w:hAnsi="Calibri"/>
          <w:sz w:val="22"/>
          <w:szCs w:val="22"/>
        </w:rPr>
        <w:t xml:space="preserve">Joint injections (knee, shoulder, hip, ankle, wrist)</w:t>
      </w:r>
    </w:p>
    <w:p>
      <w:pPr>
        <w:pStyle w:val="ListParagraph"/>
        <w:numPr>
          <w:ilvl w:val="0"/>
          <w:numId w:val="2"/>
        </w:numPr>
        <w:spacing w:after="60" w:before="60"/>
        <w:ind w:left="360" w:hanging="240"/>
      </w:pPr>
      <w:r>
        <w:rPr>
          <w:rFonts w:ascii="Calibri" w:cs="Calibri" w:eastAsia="Calibri" w:hAnsi="Calibri"/>
          <w:sz w:val="22"/>
          <w:szCs w:val="22"/>
        </w:rPr>
        <w:t xml:space="preserve">Piriformis injection and trochanteric bursa injection</w:t>
      </w:r>
    </w:p>
    <w:p>
      <w:pPr>
        <w:pStyle w:val="ListParagraph"/>
        <w:numPr>
          <w:ilvl w:val="0"/>
          <w:numId w:val="2"/>
        </w:numPr>
        <w:spacing w:after="60" w:before="60"/>
        <w:ind w:left="360" w:hanging="240"/>
      </w:pPr>
      <w:r>
        <w:rPr>
          <w:rFonts w:ascii="Calibri" w:cs="Calibri" w:eastAsia="Calibri" w:hAnsi="Calibri"/>
          <w:sz w:val="22"/>
          <w:szCs w:val="22"/>
        </w:rPr>
        <w:t xml:space="preserve">Botox for chronic migraine (PREEMPT protocol)</w:t>
      </w:r>
    </w:p>
    <w:p>
      <w:pPr>
        <w:pStyle w:val="ListParagraph"/>
        <w:numPr>
          <w:ilvl w:val="0"/>
          <w:numId w:val="2"/>
        </w:numPr>
        <w:spacing w:after="60" w:before="60"/>
        <w:ind w:left="360" w:hanging="240"/>
      </w:pPr>
      <w:r>
        <w:rPr>
          <w:rFonts w:ascii="Calibri" w:cs="Calibri" w:eastAsia="Calibri" w:hAnsi="Calibri"/>
          <w:sz w:val="22"/>
          <w:szCs w:val="22"/>
        </w:rPr>
        <w:t xml:space="preserve">Sphenopalatine ganglion block</w:t>
      </w:r>
    </w:p>
    <w:p>
      <w:pPr>
        <w:pStyle w:val="ListParagraph"/>
        <w:numPr>
          <w:ilvl w:val="0"/>
          <w:numId w:val="2"/>
        </w:numPr>
        <w:spacing w:after="60" w:before="60"/>
        <w:ind w:left="360" w:hanging="240"/>
      </w:pPr>
      <w:r>
        <w:rPr>
          <w:rFonts w:ascii="Calibri" w:cs="Calibri" w:eastAsia="Calibri" w:hAnsi="Calibri"/>
          <w:sz w:val="22"/>
          <w:szCs w:val="22"/>
        </w:rPr>
        <w:t xml:space="preserve">All 18 nerve-specific peripheral nerve stimulation targets</w:t>
      </w:r>
    </w:p>
    <w:p>
      <w:pPr>
        <w:spacing w:after="200" w:before="0"/>
      </w:pPr>
    </w:p>
    <w:p>
      <w:pPr>
        <w:pStyle w:val="Heading1"/>
        <w:pBdr>
          <w:bottom w:val="single" w:color="2563EB" w:sz="6" w:space="6"/>
        </w:pBdr>
        <w:spacing w:after="180" w:before="360"/>
      </w:pPr>
      <w:r>
        <w:rPr>
          <w:rFonts w:ascii="Calibri" w:cs="Calibri" w:eastAsia="Calibri" w:hAnsi="Calibri"/>
          <w:b/>
          <w:bCs/>
          <w:color w:val="1A3A5C"/>
          <w:sz w:val="32"/>
          <w:szCs w:val="32"/>
        </w:rPr>
        <w:t xml:space="preserve">Appendix B: Security Posture Summary</w:t>
      </w:r>
    </w:p>
    <w:p>
      <w:pPr>
        <w:spacing w:after="140" w:before="100"/>
      </w:pPr>
      <w:r>
        <w:rPr>
          <w:rFonts w:ascii="Calibri" w:cs="Calibri" w:eastAsia="Calibri" w:hAnsi="Calibri"/>
          <w:sz w:val="22"/>
          <w:szCs w:val="22"/>
        </w:rPr>
        <w:t xml:space="preserve">PrepQ's security posture was formally audited in April 2026. The audit produced 27 findings across critical, high, medium, and low severity categories. All critical and high findings were remediated within 48 hours of the audit. The following security controls are currently active:</w:t>
      </w:r>
    </w:p>
    <w:p>
      <w:pPr>
        <w:spacing w:after="80" w:before="0"/>
      </w:pPr>
    </w:p>
    <w:p>
      <w:pPr>
        <w:pStyle w:val="ListParagraph"/>
        <w:numPr>
          <w:ilvl w:val="0"/>
          <w:numId w:val="2"/>
        </w:numPr>
        <w:spacing w:after="60" w:before="60"/>
        <w:ind w:left="360" w:hanging="240"/>
      </w:pPr>
      <w:r>
        <w:rPr>
          <w:rFonts w:ascii="Calibri" w:cs="Calibri" w:eastAsia="Calibri" w:hAnsi="Calibri"/>
          <w:sz w:val="22"/>
          <w:szCs w:val="22"/>
        </w:rPr>
        <w:t xml:space="preserve">HTTPS with HSTS preload submitted to browser preload lists</w:t>
      </w:r>
    </w:p>
    <w:p>
      <w:pPr>
        <w:pStyle w:val="ListParagraph"/>
        <w:numPr>
          <w:ilvl w:val="0"/>
          <w:numId w:val="2"/>
        </w:numPr>
        <w:spacing w:after="60" w:before="60"/>
        <w:ind w:left="360" w:hanging="240"/>
      </w:pPr>
      <w:r>
        <w:rPr>
          <w:rFonts w:ascii="Calibri" w:cs="Calibri" w:eastAsia="Calibri" w:hAnsi="Calibri"/>
          <w:sz w:val="22"/>
          <w:szCs w:val="22"/>
        </w:rPr>
        <w:t xml:space="preserve">Content-Security-Policy header restricting script and resource origins</w:t>
      </w:r>
    </w:p>
    <w:p>
      <w:pPr>
        <w:pStyle w:val="ListParagraph"/>
        <w:numPr>
          <w:ilvl w:val="0"/>
          <w:numId w:val="2"/>
        </w:numPr>
        <w:spacing w:after="60" w:before="60"/>
        <w:ind w:left="360" w:hanging="240"/>
      </w:pPr>
      <w:r>
        <w:rPr>
          <w:rFonts w:ascii="Calibri" w:cs="Calibri" w:eastAsia="Calibri" w:hAnsi="Calibri"/>
          <w:sz w:val="22"/>
          <w:szCs w:val="22"/>
        </w:rPr>
        <w:t xml:space="preserve">X-Frame-Options: DENY to prevent clickjacking</w:t>
      </w:r>
    </w:p>
    <w:p>
      <w:pPr>
        <w:pStyle w:val="ListParagraph"/>
        <w:numPr>
          <w:ilvl w:val="0"/>
          <w:numId w:val="2"/>
        </w:numPr>
        <w:spacing w:after="60" w:before="60"/>
        <w:ind w:left="360" w:hanging="240"/>
      </w:pPr>
      <w:r>
        <w:rPr>
          <w:rFonts w:ascii="Calibri" w:cs="Calibri" w:eastAsia="Calibri" w:hAnsi="Calibri"/>
          <w:sz w:val="22"/>
          <w:szCs w:val="22"/>
        </w:rPr>
        <w:t xml:space="preserve">X-Content-Type-Options: nosniff to prevent MIME-type confusion</w:t>
      </w:r>
    </w:p>
    <w:p>
      <w:pPr>
        <w:pStyle w:val="ListParagraph"/>
        <w:numPr>
          <w:ilvl w:val="0"/>
          <w:numId w:val="2"/>
        </w:numPr>
        <w:spacing w:after="60" w:before="60"/>
        <w:ind w:left="360" w:hanging="240"/>
      </w:pPr>
      <w:r>
        <w:rPr>
          <w:rFonts w:ascii="Calibri" w:cs="Calibri" w:eastAsia="Calibri" w:hAnsi="Calibri"/>
          <w:sz w:val="22"/>
          <w:szCs w:val="22"/>
        </w:rPr>
        <w:t xml:space="preserve">Referrer-Policy: strict-origin-when-cross-origin</w:t>
      </w:r>
    </w:p>
    <w:p>
      <w:pPr>
        <w:pStyle w:val="ListParagraph"/>
        <w:numPr>
          <w:ilvl w:val="0"/>
          <w:numId w:val="2"/>
        </w:numPr>
        <w:spacing w:after="60" w:before="60"/>
        <w:ind w:left="360" w:hanging="240"/>
      </w:pPr>
      <w:r>
        <w:rPr>
          <w:rFonts w:ascii="Calibri" w:cs="Calibri" w:eastAsia="Calibri" w:hAnsi="Calibri"/>
          <w:sz w:val="22"/>
          <w:szCs w:val="22"/>
        </w:rPr>
        <w:t xml:space="preserve">Permissions-Policy restricting access to camera, microphone, and geolocation</w:t>
      </w:r>
    </w:p>
    <w:p>
      <w:pPr>
        <w:pStyle w:val="ListParagraph"/>
        <w:numPr>
          <w:ilvl w:val="0"/>
          <w:numId w:val="2"/>
        </w:numPr>
        <w:spacing w:after="60" w:before="60"/>
        <w:ind w:left="360" w:hanging="240"/>
      </w:pPr>
      <w:r>
        <w:rPr>
          <w:rFonts w:ascii="Calibri" w:cs="Calibri" w:eastAsia="Calibri" w:hAnsi="Calibri"/>
          <w:sz w:val="22"/>
          <w:szCs w:val="22"/>
        </w:rPr>
        <w:t xml:space="preserve">Subresource Integrity (SRI) hashes on all CDN-loaded scripts</w:t>
      </w:r>
    </w:p>
    <w:p>
      <w:pPr>
        <w:pStyle w:val="ListParagraph"/>
        <w:numPr>
          <w:ilvl w:val="0"/>
          <w:numId w:val="2"/>
        </w:numPr>
        <w:spacing w:after="60" w:before="60"/>
        <w:ind w:left="360" w:hanging="240"/>
      </w:pPr>
      <w:r>
        <w:rPr>
          <w:rFonts w:ascii="Calibri" w:cs="Calibri" w:eastAsia="Calibri" w:hAnsi="Calibri"/>
          <w:sz w:val="22"/>
          <w:szCs w:val="22"/>
        </w:rPr>
        <w:t xml:space="preserve">No PHI inputs required in the core clinical content layer</w:t>
      </w:r>
    </w:p>
    <w:p>
      <w:pPr>
        <w:spacing w:after="200" w:before="0"/>
      </w:pPr>
    </w:p>
    <w:p>
      <w:pPr>
        <w:pStyle w:val="Heading1"/>
        <w:pBdr>
          <w:bottom w:val="single" w:color="2563EB" w:sz="6" w:space="6"/>
        </w:pBdr>
        <w:spacing w:after="180" w:before="360"/>
      </w:pPr>
      <w:r>
        <w:rPr>
          <w:rFonts w:ascii="Calibri" w:cs="Calibri" w:eastAsia="Calibri" w:hAnsi="Calibri"/>
          <w:b/>
          <w:bCs/>
          <w:color w:val="1A3A5C"/>
          <w:sz w:val="32"/>
          <w:szCs w:val="32"/>
        </w:rPr>
        <w:t xml:space="preserve">Appendix C: About PrepQ</w:t>
      </w:r>
    </w:p>
    <w:p>
      <w:pPr>
        <w:spacing w:after="140" w:before="100"/>
      </w:pPr>
      <w:r>
        <w:rPr>
          <w:rFonts w:ascii="Calibri" w:cs="Calibri" w:eastAsia="Calibri" w:hAnsi="Calibri"/>
          <w:sz w:val="22"/>
          <w:szCs w:val="22"/>
        </w:rPr>
        <w:t xml:space="preserve">PrepQ.Health is a physician-founded company building AI-powered patient education for procedural medicine. The founding team includes three board-certified physicians with active clinical practices and academic appointments. PrepQ's current platform covers pain management, orthopedic, and urology procedures, with ongoing expansion into additional procedural specialties.</w:t>
      </w:r>
    </w:p>
    <w:p>
      <w:pPr>
        <w:spacing w:after="80" w:before="0"/>
      </w:pPr>
    </w:p>
    <w:p>
      <w:pPr>
        <w:spacing w:after="140" w:before="100"/>
      </w:pPr>
      <w:r>
        <w:rPr>
          <w:rFonts w:ascii="Calibri" w:cs="Calibri" w:eastAsia="Calibri" w:hAnsi="Calibri"/>
          <w:sz w:val="22"/>
          <w:szCs w:val="22"/>
        </w:rPr>
        <w:t xml:space="preserve">PrepQ is headquartered in Illinois. For partnership and enterprise inquiries, contact hello@prepq.health or visit prepq.health.</w:t>
      </w:r>
    </w:p>
    <w:p>
      <w:pPr>
        <w:spacing w:after="80" w:before="0"/>
      </w:pPr>
    </w:p>
    <w:p>
      <w:pPr>
        <w:pBdr>
          <w:top w:val="single" w:color="2563EB" w:sz="4" w:space="6"/>
        </w:pBdr>
        <w:spacing w:after="0" w:before="160"/>
      </w:pPr>
      <w:r>
        <w:rPr>
          <w:rFonts w:ascii="Calibri" w:cs="Calibri" w:eastAsia="Calibri" w:hAnsi="Calibri"/>
          <w:i/>
          <w:iCs/>
          <w:color w:val="6B7280"/>
          <w:sz w:val="18"/>
          <w:szCs w:val="18"/>
        </w:rPr>
        <w:t xml:space="preserve">Copyright 2026 PrepQ.Health. All rights reserved. This document is confidential and intended for the recipient only.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563EB" w:sz="4" w:space="6"/>
      </w:pBdr>
      <w:jc w:val="center"/>
    </w:pPr>
    <w:r>
      <w:rPr>
        <w:rFonts w:ascii="Calibri" w:cs="Calibri" w:eastAsia="Calibri" w:hAnsi="Calibri"/>
        <w:color w:val="6B7280"/>
        <w:sz w:val="18"/>
        <w:szCs w:val="18"/>
      </w:rPr>
      <w:t xml:space="preserve">Page </w:t>
    </w:r>
    <w:r>
      <w:rPr>
        <w:rFonts w:ascii="Calibri" w:cs="Calibri" w:eastAsia="Calibri" w:hAnsi="Calibri"/>
        <w:color w:val="6B7280"/>
        <w:sz w:val="18"/>
        <w:szCs w:val="18"/>
      </w:rPr>
      <w:fldChar w:fldCharType="begin"/>
      <w:instrText xml:space="preserve">PAGE</w:instrText>
      <w:fldChar w:fldCharType="separate"/>
      <w:fldChar w:fldCharType="end"/>
    </w:r>
    <w:r>
      <w:rPr>
        <w:rFonts w:ascii="Calibri" w:cs="Calibri" w:eastAsia="Calibri" w:hAnsi="Calibri"/>
        <w:color w:val="6B7280"/>
        <w:sz w:val="18"/>
        <w:szCs w:val="18"/>
      </w:rPr>
      <w:t xml:space="preserve">  |  prepq.health  |  Physician-Led AI for Procedural Patient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563EB" w:sz="4" w:space="6"/>
      </w:pBdr>
      <w:tabs>
        <w:tab w:val="right" w:pos="9360"/>
      </w:tabs>
    </w:pPr>
    <w:r>
      <w:rPr>
        <w:rFonts w:ascii="Calibri" w:cs="Calibri" w:eastAsia="Calibri" w:hAnsi="Calibri"/>
        <w:color w:val="6B7280"/>
        <w:sz w:val="18"/>
        <w:szCs w:val="18"/>
      </w:rPr>
      <w:t xml:space="preserve">PrepQ.Health  |  Clinical Compliance Whitepaper</w:t>
    </w:r>
    <w:r>
      <w:rPr>
        <w:rFonts w:ascii="Calibri" w:cs="Calibri" w:eastAsia="Calibri" w:hAnsi="Calibri"/>
        <w:b/>
        <w:bCs/>
        <w:color w:val="2563EB"/>
        <w:sz w:val="18"/>
        <w:szCs w:val="18"/>
      </w:rPr>
      <w:t xml:space="preserve">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A3A5C"/>
      <w:sz w:val="32"/>
      <w:szCs w:val="32"/>
    </w:rPr>
  </w:style>
  <w:style w:type="paragraph" w:styleId="Heading2">
    <w:name w:val="Heading 2"/>
    <w:basedOn w:val="Normal"/>
    <w:next w:val="Normal"/>
    <w:qFormat/>
    <w:pPr>
      <w:spacing w:after="120" w:before="280"/>
      <w:outlineLvl w:val="1"/>
    </w:pPr>
    <w:rPr>
      <w:rFonts w:ascii="Calibri" w:cs="Calibri" w:eastAsia="Calibri" w:hAnsi="Calibri"/>
      <w:b/>
      <w:bCs/>
      <w:color w:val="2563EB"/>
      <w:sz w:val="26"/>
      <w:szCs w:val="26"/>
    </w:rPr>
  </w:style>
  <w:style w:type="paragraph" w:styleId="Heading3">
    <w:name w:val="Heading 3"/>
    <w:basedOn w:val="Normal"/>
    <w:next w:val="Normal"/>
    <w:qFormat/>
    <w:pPr>
      <w:spacing w:after="80" w:before="200"/>
      <w:outlineLvl w:val="2"/>
    </w:pPr>
    <w:rPr>
      <w:rFonts w:ascii="Calibri" w:cs="Calibri" w:eastAsia="Calibri" w:hAnsi="Calibri"/>
      <w:b/>
      <w:bCs/>
      <w:color w:val="1F293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2026-06-26T16:04:42.527Z</dcterms:created>
  <dcterms:modified xsi:type="dcterms:W3CDTF">2026-06-26T16:04:42.527Z</dcterms:modified>
</cp:coreProperties>
</file>

<file path=docProps/custom.xml><?xml version="1.0" encoding="utf-8"?>
<Properties xmlns="http://schemas.openxmlformats.org/officeDocument/2006/custom-properties" xmlns:vt="http://schemas.openxmlformats.org/officeDocument/2006/docPropsVTypes"/>
</file>